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5 </w:t>
      </w:r>
      <w:r>
        <w:rPr>
          <w:rFonts w:hint="eastAsia" w:ascii="楷体" w:hAnsi="楷体" w:eastAsia="楷体"/>
        </w:rPr>
        <w:t>号</w:t>
      </w:r>
    </w:p>
    <w:tbl>
      <w:tblPr>
        <w:tblStyle w:val="11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2025-10-15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CE1B44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第一章 鸿蒙应用开发准备</w:t>
            </w:r>
          </w:p>
          <w:p w14:paraId="3712F7CB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 xml:space="preserve">  任务6 认识ArkTS声明式开发（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233A27">
            <w:pPr>
              <w:pStyle w:val="23"/>
              <w:numPr>
                <w:ilvl w:val="0"/>
                <w:numId w:val="4"/>
              </w:numPr>
            </w:pPr>
            <w:r>
              <w:rPr>
                <w:rFonts w:hint="eastAsia"/>
              </w:rPr>
              <w:t>了解Ark</w:t>
            </w:r>
            <w:r>
              <w:t>TS</w:t>
            </w:r>
            <w:r>
              <w:rPr>
                <w:rFonts w:hint="eastAsia"/>
              </w:rPr>
              <w:t>语言的特征</w:t>
            </w:r>
          </w:p>
          <w:p w14:paraId="416AA9E5">
            <w:pPr>
              <w:pStyle w:val="23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熟悉Ark</w:t>
            </w:r>
            <w:r>
              <w:t>TS</w:t>
            </w:r>
            <w:r>
              <w:rPr>
                <w:rFonts w:hint="eastAsia"/>
              </w:rPr>
              <w:t>的基本语法构成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7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重点：Ark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TS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的基本语法组成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Ark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TS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的基本语法组成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36C3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0C76D7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66A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C21E2A">
            <w:pPr>
              <w:ind w:firstLine="440" w:firstLineChars="200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E105AD">
            <w:pPr>
              <w:ind w:firstLine="440" w:firstLineChars="2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工匠精神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0D39DD">
            <w:pPr>
              <w:ind w:firstLine="42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3CD5A65D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1"/>
        <w:tblW w:w="5036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768"/>
        <w:gridCol w:w="3853"/>
        <w:gridCol w:w="2415"/>
        <w:gridCol w:w="2947"/>
      </w:tblGrid>
      <w:tr w14:paraId="21CAFC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719FF65D">
            <w:pPr>
              <w:pStyle w:val="17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7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42D3F2F">
            <w:pPr>
              <w:pStyle w:val="17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7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6E42946E">
            <w:pPr>
              <w:pStyle w:val="17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4830DF18">
            <w:pPr>
              <w:pStyle w:val="17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6FCA949F">
            <w:pPr>
              <w:pStyle w:val="17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537732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restart"/>
            <w:shd w:val="clear" w:color="auto" w:fill="auto"/>
            <w:vAlign w:val="center"/>
          </w:tcPr>
          <w:p w14:paraId="51F2F01A">
            <w:pPr>
              <w:pStyle w:val="17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7" w:type="dxa"/>
            <w:vMerge w:val="restart"/>
            <w:shd w:val="clear" w:color="auto" w:fill="auto"/>
            <w:vAlign w:val="center"/>
          </w:tcPr>
          <w:p w14:paraId="119EED25">
            <w:pPr>
              <w:pStyle w:val="17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17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00484930">
            <w:pPr>
              <w:pStyle w:val="17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函数与面向对象。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3810BA41">
            <w:pPr>
              <w:pStyle w:val="17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函数与面向对象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942" w:type="dxa"/>
            <w:vMerge w:val="restart"/>
            <w:shd w:val="clear" w:color="auto" w:fill="auto"/>
            <w:vAlign w:val="center"/>
          </w:tcPr>
          <w:p w14:paraId="754898B0">
            <w:pPr>
              <w:pStyle w:val="17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3024088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2340028E">
            <w:pPr>
              <w:pStyle w:val="17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备课：Ark</w:t>
            </w:r>
            <w:r>
              <w:rPr>
                <w:rFonts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声明式开发介绍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7A92AE44">
            <w:pPr>
              <w:pStyle w:val="17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了解什么式声明式开发范式。</w:t>
            </w:r>
          </w:p>
        </w:tc>
        <w:tc>
          <w:tcPr>
            <w:tcW w:w="2942" w:type="dxa"/>
            <w:vMerge w:val="continue"/>
            <w:shd w:val="clear" w:color="auto" w:fill="auto"/>
            <w:vAlign w:val="center"/>
          </w:tcPr>
          <w:p w14:paraId="55553738">
            <w:pPr>
              <w:pStyle w:val="17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48FF1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2" w:type="dxa"/>
            <w:vMerge w:val="restart"/>
            <w:shd w:val="clear" w:color="auto" w:fill="auto"/>
            <w:vAlign w:val="center"/>
          </w:tcPr>
          <w:p w14:paraId="04EA8CC6">
            <w:pPr>
              <w:pStyle w:val="17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376B057D">
            <w:pPr>
              <w:pStyle w:val="17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3D1050FB">
            <w:pPr>
              <w:pStyle w:val="17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17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.TypeS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如何使用类的多态及接口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5790854C">
            <w:pPr>
              <w:pStyle w:val="17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7DDBB477">
            <w:pPr>
              <w:pStyle w:val="17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复习上节课的知识</w:t>
            </w:r>
          </w:p>
        </w:tc>
      </w:tr>
      <w:tr w14:paraId="35370B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19537484">
            <w:pPr>
              <w:pStyle w:val="17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5666A4FE">
            <w:pPr>
              <w:pStyle w:val="17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17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28DC06A6">
            <w:pPr>
              <w:pStyle w:val="17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初识Ark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DB63652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ArkTS是鸿蒙应用开发优选的主力应用开发语言。ArkTS围绕应用开发在TypeScript（简称TS）生态基础上做了进一步扩展，继承了TS的所有特性，是TS的超集。当前，ArkTS在TS的基础上主要扩展了如下能力：</w:t>
            </w:r>
          </w:p>
          <w:p w14:paraId="17450D2C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基本语法：ArkTS定义了声明式UI描述、自定义组件和动态扩展UI元素的能力，再配合ArkUI开发框架中的系统组件及其相关的事件方法、属性方法等共同构成了UI开发的主体。</w:t>
            </w:r>
          </w:p>
          <w:p w14:paraId="560168CE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状态管理：ArkTS提供了多维度的状态管理机制。在UI开发框架中，与UI相关联的数据可以在组件内使用，也可以在不同组件层级间传递，比如父子组件之间、爷孙组件之间，还可以在应用全局范围内传递或跨设备传递。另外，从数据的传递形式来看，可分为只读的单向传递和可变更的双向传递。开发者可以灵活的利用这些能力来实现数据和UI的联动。</w:t>
            </w:r>
          </w:p>
          <w:p w14:paraId="13069E14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渲染控制：ArkTS提供了渲染控制的能力。条件渲染可根据应用的不同状态，渲染对应状态下的UI内容。循环渲染可从数据源中迭代获取数据，并在每次迭代过程中创建相应的组件。数据懒加载从数据源中按需迭代数据，并在每次迭代过程中创建相应的组件。</w:t>
            </w:r>
          </w:p>
          <w:p w14:paraId="79431D4D">
            <w:pPr>
              <w:pStyle w:val="17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2.ArkTS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的基本语法</w:t>
            </w:r>
          </w:p>
          <w:p w14:paraId="7051DA7B">
            <w:pPr>
              <w:pStyle w:val="17"/>
              <w:spacing w:before="45" w:line="288" w:lineRule="auto"/>
            </w:pPr>
            <w:r>
              <w:drawing>
                <wp:inline distT="0" distB="0" distL="114300" distR="114300">
                  <wp:extent cx="2720340" cy="2236470"/>
                  <wp:effectExtent l="0" t="0" r="381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23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E0109C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eastAsia="zh-CN"/>
              </w:rPr>
              <w:t>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装饰器： 用于装饰类、结构、方法以及变量，赋予其特殊的含义，如上述示例中@Entry、@Component和@State都是装饰器。 具体而言，@Component表示这是个自定义组件；@Entry则表示这是个入口组件；@State表示组件中的状态变量，这个状态变换会引起UI变更。</w:t>
            </w:r>
          </w:p>
          <w:p w14:paraId="6CE9CF66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自定义组件：可复用的UI单元，可组合其他组件，如上述被@Component装饰的struct Hello。</w:t>
            </w:r>
          </w:p>
          <w:p w14:paraId="40D87507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UI描述：声明式的方法来描述UI的结构，例如build()方法中的代码块。</w:t>
            </w:r>
          </w:p>
          <w:p w14:paraId="4A3978F3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内置组件：ArkTS中默认内置的基本组件和容器组件，开发者可以直接调用，如Column、Text、Divider、Button等。</w:t>
            </w:r>
          </w:p>
          <w:p w14:paraId="428707F0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属性方法：用于组件属性的配置，如fontSize()、width()、height()、color()等，可通过链式调用的方式设置多项属性。</w:t>
            </w:r>
          </w:p>
          <w:p w14:paraId="354D5A41">
            <w:pPr>
              <w:pStyle w:val="17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事件方法：用于添加组件对事件的响应逻辑，统一通过事件方法进行设置，如跟随在Button后面的onClick()。</w:t>
            </w:r>
          </w:p>
          <w:p w14:paraId="7B7889E6">
            <w:pPr>
              <w:pStyle w:val="17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声明式U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  <w:p w14:paraId="7EAE47EB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事件方法以“.”链式调用的方式配置系统组件支持的事件，建议每个事件方法单独写一行。组件的事件方法有多种写法，可以使用lambda表达式、匿名函数表达式和组件的成员函数方式。</w:t>
            </w:r>
          </w:p>
          <w:p w14:paraId="1BA1984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使用lambda表达式配置组件的事件方法，示例代码如下所示。</w:t>
            </w:r>
          </w:p>
          <w:p w14:paraId="6DCA6A8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Button('Click me')</w:t>
            </w:r>
          </w:p>
          <w:p w14:paraId="79E0290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.onClick(() =&gt; {</w:t>
            </w:r>
          </w:p>
          <w:p w14:paraId="1602311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this.myText = 'ArkUI';</w:t>
            </w:r>
          </w:p>
          <w:p w14:paraId="031896A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})</w:t>
            </w:r>
          </w:p>
          <w:p w14:paraId="527304F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使用匿名函数表达式配置组件的事件方法，要求使用bind，以确保函数体中的this指向当前组件，示例代码如下所示。</w:t>
            </w:r>
          </w:p>
          <w:p w14:paraId="3DC6A3B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Button('add counter')</w:t>
            </w:r>
          </w:p>
          <w:p w14:paraId="0E56DB3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.onClick(function(){</w:t>
            </w:r>
          </w:p>
          <w:p w14:paraId="1E7EB6D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this.counter += 2;</w:t>
            </w:r>
          </w:p>
          <w:p w14:paraId="5F467F0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}.bind(this))</w:t>
            </w:r>
          </w:p>
          <w:p w14:paraId="7C3F9A9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使用组件的成员函数配置组件的事件方法，示例代码如下所示。</w:t>
            </w:r>
          </w:p>
          <w:p w14:paraId="6DA7010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myClickHandler(): void {</w:t>
            </w:r>
          </w:p>
          <w:p w14:paraId="4A6C580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this.counter += 2;</w:t>
            </w:r>
          </w:p>
          <w:p w14:paraId="146C2A6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C4F6D5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  <w:p w14:paraId="5651783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Button('add counter')</w:t>
            </w:r>
          </w:p>
          <w:p w14:paraId="5908EEF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.onClick(this.myClickHandler.bind(this))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60043E09">
            <w:pPr>
              <w:pStyle w:val="17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学习Ark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的基本语法与U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描述。</w:t>
            </w:r>
          </w:p>
          <w:p w14:paraId="13B976A2">
            <w:pPr>
              <w:pStyle w:val="17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shd w:val="clear" w:color="auto" w:fill="auto"/>
            <w:vAlign w:val="center"/>
          </w:tcPr>
          <w:p w14:paraId="22996AF5">
            <w:pPr>
              <w:pStyle w:val="17"/>
              <w:spacing w:line="400" w:lineRule="exact"/>
              <w:ind w:right="79" w:righ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73A1E46">
            <w:pPr>
              <w:pStyle w:val="17"/>
              <w:spacing w:line="400" w:lineRule="exact"/>
              <w:ind w:right="79" w:righ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本节课的学习，学生将能够掌握ArkTS的基本语法和声明式UI描述，理解如何使用装饰器、自定义组件、UI描述、内置组件、属性方法和事件方法来构建和控制用户界面。学生将通过实例学习如何使用ArkTS进行声明式编程，以及如何通过条件渲染和循环渲染来优化应用性能。此外，学生还将学习状态管理机制，包括单向数据流和双向数据绑定，以及如何在不同组件间以及跨设备间传递和管理状态。通过这些知识，学生将能够设计出响应迅速、交互流畅的鸿蒙应用。本节课的设计意图在于让学生通过理论与实践相结合的方式，深入理解ArkTS的核心概念，并能够将这些概念应用于实际开发中，为后续的高级课程和项目开发打下坚实的基础。</w:t>
            </w:r>
          </w:p>
          <w:p w14:paraId="2093FBD1">
            <w:pPr>
              <w:pStyle w:val="17"/>
              <w:spacing w:line="40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12459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24752079">
            <w:pPr>
              <w:pStyle w:val="17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17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5D0785F8">
            <w:pPr>
              <w:pStyle w:val="17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17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1C909A8D">
            <w:pPr>
              <w:pStyle w:val="17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根据任务工单要求完成“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TypeScript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进阶语法”的练习。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558BEAF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68197B0A">
            <w:pPr>
              <w:pStyle w:val="17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3DF716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3CE8C82E">
            <w:pPr>
              <w:pStyle w:val="17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7DCB9973">
            <w:pPr>
              <w:pStyle w:val="17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6EC86289">
            <w:pPr>
              <w:pStyle w:val="17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1DCB5337">
            <w:pPr>
              <w:pStyle w:val="17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0628E9B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794FBB6C">
            <w:pPr>
              <w:pStyle w:val="17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9DE8293">
            <w:pPr>
              <w:pStyle w:val="17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6" w:type="dxa"/>
            <w:shd w:val="clear" w:color="auto" w:fill="auto"/>
          </w:tcPr>
          <w:p w14:paraId="6BEED639">
            <w:pPr>
              <w:pStyle w:val="17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411" w:type="dxa"/>
            <w:shd w:val="clear" w:color="auto" w:fill="auto"/>
          </w:tcPr>
          <w:p w14:paraId="54419F90">
            <w:pPr>
              <w:pStyle w:val="17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shd w:val="clear" w:color="auto" w:fill="auto"/>
          </w:tcPr>
          <w:p w14:paraId="6AF35137">
            <w:pPr>
              <w:pStyle w:val="17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A8164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0E337C99">
            <w:pPr>
              <w:pStyle w:val="17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3573C51E">
            <w:pPr>
              <w:pStyle w:val="17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01688A3A">
            <w:pPr>
              <w:pStyle w:val="17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460857EE">
            <w:pPr>
              <w:pStyle w:val="17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12DF5471">
            <w:pPr>
              <w:pStyle w:val="17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CFAB9E9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3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2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4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2C1356F"/>
    <w:rsid w:val="04B52C5F"/>
    <w:rsid w:val="06CC603E"/>
    <w:rsid w:val="06EB1AB6"/>
    <w:rsid w:val="0712694D"/>
    <w:rsid w:val="077611A1"/>
    <w:rsid w:val="0805367D"/>
    <w:rsid w:val="08395955"/>
    <w:rsid w:val="08B0518A"/>
    <w:rsid w:val="0A2E2D06"/>
    <w:rsid w:val="0AB3379D"/>
    <w:rsid w:val="0AF866B7"/>
    <w:rsid w:val="0C005E2E"/>
    <w:rsid w:val="0C400DE0"/>
    <w:rsid w:val="0C970E9C"/>
    <w:rsid w:val="0D7F02AE"/>
    <w:rsid w:val="0EC51CF1"/>
    <w:rsid w:val="109611B9"/>
    <w:rsid w:val="12411D81"/>
    <w:rsid w:val="18DC04C2"/>
    <w:rsid w:val="19BC67B1"/>
    <w:rsid w:val="1A8D4398"/>
    <w:rsid w:val="1AF916A0"/>
    <w:rsid w:val="1B35052A"/>
    <w:rsid w:val="1BEF2AA3"/>
    <w:rsid w:val="1CC96B83"/>
    <w:rsid w:val="1D7A639C"/>
    <w:rsid w:val="1DD05859"/>
    <w:rsid w:val="1EAA17B6"/>
    <w:rsid w:val="201F345A"/>
    <w:rsid w:val="220953C2"/>
    <w:rsid w:val="22A85759"/>
    <w:rsid w:val="231A3C15"/>
    <w:rsid w:val="23BC1F64"/>
    <w:rsid w:val="245C2558"/>
    <w:rsid w:val="25BB406E"/>
    <w:rsid w:val="25D6438C"/>
    <w:rsid w:val="265956E8"/>
    <w:rsid w:val="2A587A65"/>
    <w:rsid w:val="2C610E53"/>
    <w:rsid w:val="2CD31625"/>
    <w:rsid w:val="2D0B7011"/>
    <w:rsid w:val="2D6016B3"/>
    <w:rsid w:val="2DF6381D"/>
    <w:rsid w:val="2F37233F"/>
    <w:rsid w:val="2FDE6C5E"/>
    <w:rsid w:val="337E678E"/>
    <w:rsid w:val="33922361"/>
    <w:rsid w:val="33D2483A"/>
    <w:rsid w:val="35062D3D"/>
    <w:rsid w:val="36B14785"/>
    <w:rsid w:val="37996436"/>
    <w:rsid w:val="37DD75E9"/>
    <w:rsid w:val="382A0C93"/>
    <w:rsid w:val="3EC93CE3"/>
    <w:rsid w:val="41782A6F"/>
    <w:rsid w:val="427C4250"/>
    <w:rsid w:val="432A7A4D"/>
    <w:rsid w:val="45D21F96"/>
    <w:rsid w:val="477E6905"/>
    <w:rsid w:val="47FC782A"/>
    <w:rsid w:val="49FC79D2"/>
    <w:rsid w:val="4A6022F2"/>
    <w:rsid w:val="4B477D8F"/>
    <w:rsid w:val="4BCB7B6B"/>
    <w:rsid w:val="4BD74836"/>
    <w:rsid w:val="4C8532C6"/>
    <w:rsid w:val="4D247ED9"/>
    <w:rsid w:val="4F9D2544"/>
    <w:rsid w:val="510E724A"/>
    <w:rsid w:val="54DB6EA3"/>
    <w:rsid w:val="56835CE6"/>
    <w:rsid w:val="56903F5F"/>
    <w:rsid w:val="572A7234"/>
    <w:rsid w:val="58892FCD"/>
    <w:rsid w:val="5A5F57DB"/>
    <w:rsid w:val="5C8F6A67"/>
    <w:rsid w:val="5CC130C4"/>
    <w:rsid w:val="60640CC7"/>
    <w:rsid w:val="61CC08E4"/>
    <w:rsid w:val="635B1FBD"/>
    <w:rsid w:val="637C7D45"/>
    <w:rsid w:val="64322AF9"/>
    <w:rsid w:val="64D744E3"/>
    <w:rsid w:val="65BC34C7"/>
    <w:rsid w:val="67862220"/>
    <w:rsid w:val="6AEF572F"/>
    <w:rsid w:val="6B15282D"/>
    <w:rsid w:val="6C2E5548"/>
    <w:rsid w:val="6CBA7A7E"/>
    <w:rsid w:val="6D510FAC"/>
    <w:rsid w:val="6D59622D"/>
    <w:rsid w:val="6FB1521A"/>
    <w:rsid w:val="70F97E5D"/>
    <w:rsid w:val="761348DE"/>
    <w:rsid w:val="76B255A9"/>
    <w:rsid w:val="786857F0"/>
    <w:rsid w:val="796B468C"/>
    <w:rsid w:val="7AED6B11"/>
    <w:rsid w:val="7B9003DA"/>
    <w:rsid w:val="7C3C67E8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5"/>
    <w:basedOn w:val="3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styleId="5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6">
    <w:name w:val="Body Text"/>
    <w:basedOn w:val="1"/>
    <w:link w:val="16"/>
    <w:autoRedefine/>
    <w:qFormat/>
    <w:uiPriority w:val="1"/>
    <w:rPr>
      <w:sz w:val="24"/>
      <w:szCs w:val="24"/>
    </w:rPr>
  </w:style>
  <w:style w:type="paragraph" w:styleId="7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8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autoRedefine/>
    <w:semiHidden/>
    <w:unhideWhenUsed/>
    <w:qFormat/>
    <w:uiPriority w:val="99"/>
    <w:rPr>
      <w:color w:val="0000FF"/>
      <w:u w:val="single"/>
    </w:rPr>
  </w:style>
  <w:style w:type="character" w:customStyle="1" w:styleId="15">
    <w:name w:val="页眉 Char"/>
    <w:basedOn w:val="13"/>
    <w:link w:val="10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正文文本 Char"/>
    <w:basedOn w:val="13"/>
    <w:link w:val="6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7">
    <w:name w:val="Table Paragraph"/>
    <w:basedOn w:val="1"/>
    <w:autoRedefine/>
    <w:qFormat/>
    <w:uiPriority w:val="1"/>
  </w:style>
  <w:style w:type="character" w:customStyle="1" w:styleId="18">
    <w:name w:val="批注框文本 Char"/>
    <w:basedOn w:val="13"/>
    <w:link w:val="8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9">
    <w:name w:val="无间隔 Char"/>
    <w:link w:val="20"/>
    <w:autoRedefine/>
    <w:qFormat/>
    <w:uiPriority w:val="1"/>
    <w:rPr>
      <w:sz w:val="22"/>
    </w:rPr>
  </w:style>
  <w:style w:type="paragraph" w:styleId="20">
    <w:name w:val="No Spacing"/>
    <w:link w:val="19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1">
    <w:name w:val="页脚 Char"/>
    <w:basedOn w:val="13"/>
    <w:link w:val="9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2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3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4">
    <w:name w:val="a代码格式"/>
    <w:basedOn w:val="25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5">
    <w:name w:val="a无缩进正文"/>
    <w:basedOn w:val="4"/>
    <w:qFormat/>
    <w:uiPriority w:val="0"/>
    <w:p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1959</Words>
  <Characters>2499</Characters>
  <Lines>17</Lines>
  <Paragraphs>4</Paragraphs>
  <TotalTime>0</TotalTime>
  <ScaleCrop>false</ScaleCrop>
  <LinksUpToDate>false</LinksUpToDate>
  <CharactersWithSpaces>2574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2025-08-22T09:10:39Z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