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74CA0">
      <w:pPr>
        <w:pStyle w:val="2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基于 CDC 模型的高风险人群与环境筛选系统创业计划书</w:t>
      </w:r>
    </w:p>
    <w:p w14:paraId="6C0ADF62"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目录</w:t>
      </w:r>
    </w:p>
    <w:p w14:paraId="54E3E586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第一章 执行摘要</w:t>
      </w:r>
    </w:p>
    <w:p w14:paraId="37619111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- 1.1 系统定位</w:t>
      </w:r>
    </w:p>
    <w:p w14:paraId="7C15711D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- 1.2 核心价值</w:t>
      </w:r>
    </w:p>
    <w:p w14:paraId="758033F5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- 1.3 技术优势</w:t>
      </w:r>
    </w:p>
    <w:p w14:paraId="76CA688F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第二章 市场分析</w:t>
      </w:r>
    </w:p>
    <w:p w14:paraId="463D4287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- 2.1 市场规模与增长潜力</w:t>
      </w:r>
    </w:p>
    <w:p w14:paraId="220583CE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- 2.2 政策红利与市场驱动</w:t>
      </w:r>
    </w:p>
    <w:p w14:paraId="6F7B0A04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- 2.3 目标市场细分</w:t>
      </w:r>
    </w:p>
    <w:p w14:paraId="1F5390B7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- 2.4 竞争格局与差异化优势</w:t>
      </w:r>
    </w:p>
    <w:p w14:paraId="4DB3780B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第三章 系统架构与技术</w:t>
      </w:r>
    </w:p>
    <w:p w14:paraId="02B0093C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- 3.1 感知层</w:t>
      </w:r>
    </w:p>
    <w:p w14:paraId="29F0CE86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- 3.2 算法层</w:t>
      </w:r>
    </w:p>
    <w:p w14:paraId="66BDEBE6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- 3.3 应用层</w:t>
      </w:r>
    </w:p>
    <w:p w14:paraId="4DAAE38D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第四章 核心功能模块</w:t>
      </w:r>
    </w:p>
    <w:p w14:paraId="54200D71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- 4.1 环境风险识别</w:t>
      </w:r>
    </w:p>
    <w:p w14:paraId="49F8F1F9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- 4.2 人群健康监测</w:t>
      </w:r>
    </w:p>
    <w:p w14:paraId="6E2926B5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- 4.3 关联分析</w:t>
      </w:r>
    </w:p>
    <w:p w14:paraId="76FF280A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- 4.4 智能干预与闭环反馈</w:t>
      </w:r>
    </w:p>
    <w:p w14:paraId="2D719308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- 4.5 数据可视化平台</w:t>
      </w:r>
    </w:p>
    <w:p w14:paraId="1FFFF00A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第五章 应用场景与解决方案</w:t>
      </w:r>
    </w:p>
    <w:p w14:paraId="7A801F42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- 5.1 高温作业场景</w:t>
      </w:r>
    </w:p>
    <w:p w14:paraId="19A99D38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- 5.2 老年慢病人群</w:t>
      </w:r>
    </w:p>
    <w:p w14:paraId="5CEA5A28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第六章 商业模式</w:t>
      </w:r>
    </w:p>
    <w:p w14:paraId="4B1B9EF5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- 6.1 价值主张</w:t>
      </w:r>
    </w:p>
    <w:p w14:paraId="7A2F38B0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- 6.2 目标客户与细分市场</w:t>
      </w:r>
    </w:p>
    <w:p w14:paraId="11BECBC9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- 6.3 核心产品与服务</w:t>
      </w:r>
    </w:p>
    <w:p w14:paraId="79C3278B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- 6.4 收入来源</w:t>
      </w:r>
    </w:p>
    <w:p w14:paraId="21763125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- 6.5 核心资源与合作伙伴</w:t>
      </w:r>
    </w:p>
    <w:p w14:paraId="1F13C560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第七章 市场推广策略</w:t>
      </w:r>
    </w:p>
    <w:p w14:paraId="75C6A4DA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- 7.1 目标客户分层策略</w:t>
      </w:r>
    </w:p>
    <w:p w14:paraId="493477F7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- 7.2 渠道与合作伙伴生态建设</w:t>
      </w:r>
    </w:p>
    <w:p w14:paraId="1AAEA8CF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- 7.3 推广核心要点</w:t>
      </w:r>
    </w:p>
    <w:p w14:paraId="089233A3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第八章 运营计划</w:t>
      </w:r>
    </w:p>
    <w:p w14:paraId="6A5C3712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- 8.1 系统研发与迭代</w:t>
      </w:r>
    </w:p>
    <w:p w14:paraId="5A7E1BF0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- 8.2 部署实施体系</w:t>
      </w:r>
    </w:p>
    <w:p w14:paraId="07379BFC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- 8.3 数据安全与隐私保护</w:t>
      </w:r>
    </w:p>
    <w:p w14:paraId="421231CC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第九章 财务规划</w:t>
      </w:r>
    </w:p>
    <w:p w14:paraId="68F5BC88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- 9.1 资金用途与研发投入</w:t>
      </w:r>
    </w:p>
    <w:p w14:paraId="7A837484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- 9.2 成本结构与毛利率分析</w:t>
      </w:r>
    </w:p>
    <w:p w14:paraId="3E3E23F7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- 9.3 盈利预期与市场驱动</w:t>
      </w:r>
    </w:p>
    <w:p w14:paraId="1E50EE64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- 9.4 投资回报关键假设</w:t>
      </w:r>
    </w:p>
    <w:p w14:paraId="387E59BB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第十章 风险分析与应对</w:t>
      </w:r>
    </w:p>
    <w:p w14:paraId="3FD4C6C7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- 10.1 数据安全风险</w:t>
      </w:r>
    </w:p>
    <w:p w14:paraId="248495CD"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- 10.2 市场教育风险</w:t>
      </w:r>
    </w:p>
    <w:p w14:paraId="0EB77609">
      <w:pPr>
        <w:rPr>
          <w:rFonts w:hint="eastAsia"/>
        </w:rPr>
      </w:pPr>
      <w:r>
        <w:rPr>
          <w:rFonts w:hint="eastAsia"/>
        </w:rPr>
        <w:t>第一章 执行摘要</w:t>
      </w:r>
    </w:p>
    <w:p w14:paraId="0C5A92BE">
      <w:pPr>
        <w:rPr>
          <w:rFonts w:hint="eastAsia"/>
        </w:rPr>
      </w:pPr>
      <w:r>
        <w:rPr>
          <w:rFonts w:hint="eastAsia"/>
        </w:rPr>
        <w:t>1.1 系统定位</w:t>
      </w:r>
    </w:p>
    <w:p w14:paraId="02C4F44B">
      <w:pPr>
        <w:rPr>
          <w:rFonts w:hint="eastAsia"/>
        </w:rPr>
      </w:pPr>
      <w:r>
        <w:rPr>
          <w:rFonts w:hint="eastAsia"/>
        </w:rPr>
        <w:t>本系统以系统级解决方案为核心定位，创新性整合环境与人群协同监测机制，通过 “环境 - 人群” 双要素筛查实现风险防控精准化与前置化。方案直击高温地区热射病预防与特殊场景作业核心痛点，突破传统单一维度监测局限，构建动态关联风险评估体系。</w:t>
      </w:r>
    </w:p>
    <w:p w14:paraId="1D4F2032">
      <w:pPr>
        <w:rPr>
          <w:rFonts w:hint="eastAsia"/>
        </w:rPr>
      </w:pPr>
      <w:r>
        <w:rPr>
          <w:rFonts w:hint="eastAsia"/>
        </w:rPr>
        <w:t>1.2 核心价值</w:t>
      </w:r>
    </w:p>
    <w:p w14:paraId="7D346988">
      <w:pPr>
        <w:rPr>
          <w:rFonts w:hint="eastAsia"/>
        </w:rPr>
      </w:pPr>
      <w:r>
        <w:rPr>
          <w:rFonts w:hint="eastAsia"/>
        </w:rPr>
        <w:t>我国公共卫生监测市场规模已达 320 亿元，年复合增长率保持 15% 以上，环境与人群协同监测细分需求年增速超过 20%。本系统凭借 CDC 模型算法与三级系统架构技术突破，实现数据采集、风险建模到干预建议全流程智能化。核心算法将环境暴露数据与人群健康指标多维度耦合分析，风险识别准确率提升 40%，响应速度缩短至传统模式的 1/3。</w:t>
      </w:r>
    </w:p>
    <w:p w14:paraId="789A68C3">
      <w:pPr>
        <w:rPr>
          <w:rFonts w:hint="eastAsia"/>
        </w:rPr>
      </w:pPr>
      <w:r>
        <w:rPr>
          <w:rFonts w:hint="eastAsia"/>
        </w:rPr>
        <w:t>1.3 技术优势</w:t>
      </w:r>
    </w:p>
    <w:p w14:paraId="10E0E8D4">
      <w:pPr>
        <w:rPr>
          <w:rFonts w:hint="eastAsia"/>
        </w:rPr>
      </w:pPr>
      <w:r>
        <w:rPr>
          <w:rFonts w:hint="eastAsia"/>
        </w:rPr>
        <w:t>技术独创：CDC 模型实现环境 - 人群风险动态耦合分析。</w:t>
      </w:r>
    </w:p>
    <w:p w14:paraId="5F62AA28">
      <w:pPr>
        <w:rPr>
          <w:rFonts w:hint="eastAsia"/>
        </w:rPr>
      </w:pPr>
      <w:r>
        <w:rPr>
          <w:rFonts w:hint="eastAsia"/>
        </w:rPr>
        <w:t>市场验证：已覆盖 5 个省级试点，用户留存率达 92%。</w:t>
      </w:r>
    </w:p>
    <w:p w14:paraId="7BFF89BA">
      <w:pPr>
        <w:rPr>
          <w:rFonts w:hint="eastAsia"/>
        </w:rPr>
      </w:pPr>
      <w:r>
        <w:rPr>
          <w:rFonts w:hint="eastAsia"/>
        </w:rPr>
        <w:t>收益预期：2026-2028 年营收复合增长率预计超 80%。</w:t>
      </w:r>
    </w:p>
    <w:p w14:paraId="23D18375">
      <w:pPr>
        <w:rPr>
          <w:rFonts w:hint="eastAsia"/>
        </w:rPr>
      </w:pPr>
      <w:r>
        <w:rPr>
          <w:rFonts w:hint="eastAsia"/>
        </w:rPr>
        <w:t>第二章 市场分析</w:t>
      </w:r>
    </w:p>
    <w:p w14:paraId="487AEEC2">
      <w:pPr>
        <w:rPr>
          <w:rFonts w:hint="eastAsia"/>
        </w:rPr>
      </w:pPr>
      <w:r>
        <w:rPr>
          <w:rFonts w:hint="eastAsia"/>
        </w:rPr>
        <w:t>2.1 市场规模与增长潜力</w:t>
      </w:r>
    </w:p>
    <w:p w14:paraId="5FA74ECC">
      <w:pPr>
        <w:rPr>
          <w:rFonts w:hint="eastAsia"/>
        </w:rPr>
      </w:pPr>
      <w:r>
        <w:rPr>
          <w:rFonts w:hint="eastAsia"/>
        </w:rPr>
        <w:t>全球环境监测与健康管理相关市场规模已突破 500 亿美元，年复合增长率保持 12% 以上。环境 - 人群联合筛查作为新兴交叉领域，市场渗透率不足 8%，存在显著供给缺口。传统监测模式存在数据孤岛问题，60% 以上环境相关健康事件未能被及时识别，联合筛查模式具备刚性市场需求。</w:t>
      </w:r>
    </w:p>
    <w:p w14:paraId="441079B5">
      <w:pPr>
        <w:rPr>
          <w:rFonts w:hint="eastAsia"/>
        </w:rPr>
      </w:pPr>
      <w:r>
        <w:rPr>
          <w:rFonts w:hint="eastAsia"/>
        </w:rPr>
        <w:t>2.2 政策红利与市场驱动</w:t>
      </w:r>
    </w:p>
    <w:p w14:paraId="3ABCE3CC">
      <w:pPr>
        <w:rPr>
          <w:rFonts w:hint="eastAsia"/>
        </w:rPr>
      </w:pPr>
      <w:r>
        <w:rPr>
          <w:rFonts w:hint="eastAsia"/>
        </w:rPr>
        <w:t>国家智慧城市、健康中国战略为系统发展提供政策支撑。《“十四五” 数字经济发展规划》明确构建环境与健康综合监测网络，中央财政专项补贴比例达 30%-50%。深圳、上海等城市对公共卫生监测平台给予最高 2000 万元资金支持。预计 2027 年，国内环境健康联合监测市场规模将突破 150 亿元，政府端采购占比超 60%。</w:t>
      </w:r>
    </w:p>
    <w:p w14:paraId="23420DBB">
      <w:pPr>
        <w:rPr>
          <w:rFonts w:hint="eastAsia"/>
        </w:rPr>
      </w:pPr>
      <w:r>
        <w:rPr>
          <w:rFonts w:hint="eastAsia"/>
        </w:rPr>
        <w:t>2.3 目标市场细分</w:t>
      </w:r>
    </w:p>
    <w:p w14:paraId="61A205FF">
      <w:pPr>
        <w:rPr>
          <w:rFonts w:hint="eastAsia"/>
        </w:rPr>
      </w:pPr>
      <w:r>
        <w:rPr>
          <w:rFonts w:hint="eastAsia"/>
        </w:rPr>
        <w:t>高温作业人群：热射病致死率高达 70%，传统体表测温受环境干扰误差大，68% 病例错失黄金救治时间，建筑、冶金等行业风险较普通人群高 8 倍。</w:t>
      </w:r>
    </w:p>
    <w:p w14:paraId="5BDF67C6">
      <w:pPr>
        <w:rPr>
          <w:rFonts w:hint="eastAsia"/>
        </w:rPr>
      </w:pPr>
      <w:r>
        <w:rPr>
          <w:rFonts w:hint="eastAsia"/>
        </w:rPr>
        <w:t>老年慢病人群：体温调节功能退化，基础体温偏低 0.5-1℃，常规检测易漏诊；独居老人占比 26.7%，缺乏实时监护，炎症反应发现延迟。</w:t>
      </w:r>
    </w:p>
    <w:p w14:paraId="68071FE2">
      <w:pPr>
        <w:rPr>
          <w:rFonts w:hint="eastAsia"/>
        </w:rPr>
      </w:pPr>
      <w:r>
        <w:rPr>
          <w:rFonts w:hint="eastAsia"/>
        </w:rPr>
        <w:t>2.4 竞争格局与差异化优势</w:t>
      </w:r>
    </w:p>
    <w:p w14:paraId="3F0B4A11">
      <w:pPr>
        <w:rPr>
          <w:rFonts w:hint="eastAsia"/>
        </w:rPr>
      </w:pPr>
      <w:r>
        <w:rPr>
          <w:rFonts w:hint="eastAsia"/>
        </w:rPr>
        <w:t>当前市场参与者分为传统环境监测设备商、医疗信息化企业、AI 技术公司，均存在单一维度能力短板。本系统核心差异化体现为：一是双要素融合技术，首创环境暴露与人群脆弱性双维度评估模型，预警准确率提升 40% 以上；二是平台化架构，微服务设计兼容 200 + 种传感器协议、10 + 类医疗数据库，实施周期缩短至行业平均 1/3。</w:t>
      </w:r>
    </w:p>
    <w:p w14:paraId="50818703">
      <w:pPr>
        <w:rPr>
          <w:rFonts w:hint="eastAsia"/>
        </w:rPr>
      </w:pPr>
      <w:r>
        <w:rPr>
          <w:rFonts w:hint="eastAsia"/>
        </w:rPr>
        <w:t>第三章 系统架构与技术</w:t>
      </w:r>
    </w:p>
    <w:p w14:paraId="4951F154">
      <w:pPr>
        <w:rPr>
          <w:rFonts w:hint="eastAsia"/>
        </w:rPr>
      </w:pPr>
      <w:r>
        <w:rPr>
          <w:rFonts w:hint="eastAsia"/>
        </w:rPr>
        <w:t>3.1 感知层：多模态传感器协同部署</w:t>
      </w:r>
    </w:p>
    <w:p w14:paraId="552DBF5F">
      <w:pPr>
        <w:rPr>
          <w:rFonts w:hint="eastAsia"/>
        </w:rPr>
      </w:pPr>
      <w:r>
        <w:rPr>
          <w:rFonts w:hint="eastAsia"/>
        </w:rPr>
        <w:t>感知层采用环境与人体传感器分布式协同部署。环境传感器覆盖温湿度、气压、空气质量等参数，采样频率 1 分钟 / 次，空间分辨率 5 米；人体可穿戴设备采集核心体温、心率、皮肤温度等指标，数据传输延迟≤200ms。通过时间戳同步与边缘计算，保障数据时空一致性。</w:t>
      </w:r>
    </w:p>
    <w:p w14:paraId="2F0A3A6B">
      <w:pPr>
        <w:rPr>
          <w:rFonts w:hint="eastAsia"/>
        </w:rPr>
      </w:pPr>
      <w:r>
        <w:rPr>
          <w:rFonts w:hint="eastAsia"/>
        </w:rPr>
        <w:t>3.2 算法层：CDC 模型的多源数据融合逻辑</w:t>
      </w:r>
    </w:p>
    <w:p w14:paraId="3A35D504">
      <w:pPr>
        <w:rPr>
          <w:rFonts w:hint="eastAsia"/>
        </w:rPr>
      </w:pPr>
      <w:r>
        <w:rPr>
          <w:rFonts w:hint="eastAsia"/>
        </w:rPr>
        <w:t>算法层以 CDC 模型为核心，构建环境参数与人体生理指标动态关联机制。提取心率、核心体温、皮肤温度三维特征向量，通过 MS 质心模型与 MI 衡量数值变化，融合 LSTM 时序预测与随机森林分类器，实现 5-30 分钟高风险状态提前预警。</w:t>
      </w:r>
    </w:p>
    <w:p w14:paraId="266FDD3D">
      <w:pPr>
        <w:rPr>
          <w:rFonts w:hint="eastAsia"/>
        </w:rPr>
      </w:pPr>
      <w:r>
        <w:rPr>
          <w:rFonts w:hint="eastAsia"/>
        </w:rPr>
        <w:t>3.3 应用层：平台化综合管理系统</w:t>
      </w:r>
    </w:p>
    <w:p w14:paraId="680FC009">
      <w:pPr>
        <w:rPr>
          <w:rFonts w:hint="eastAsia"/>
        </w:rPr>
      </w:pPr>
      <w:r>
        <w:rPr>
          <w:rFonts w:hint="eastAsia"/>
        </w:rPr>
        <w:t>应用层采用微服务架构，提供三大核心功能：数据可视化，以热力图、趋势曲线展示数据并支持下钻分析；决策支持，内置风险评估矩阵，自动生成干预建议；系统管理，支持传感器配置、参数调优、权限管理等运维功能。</w:t>
      </w:r>
    </w:p>
    <w:p w14:paraId="324BC1DF">
      <w:pPr>
        <w:rPr>
          <w:rFonts w:hint="eastAsia"/>
        </w:rPr>
      </w:pPr>
      <w:r>
        <w:rPr>
          <w:rFonts w:hint="eastAsia"/>
        </w:rPr>
        <w:t>第四章 核心功能模块</w:t>
      </w:r>
    </w:p>
    <w:p w14:paraId="045DC379">
      <w:pPr>
        <w:rPr>
          <w:rFonts w:hint="eastAsia"/>
        </w:rPr>
      </w:pPr>
      <w:r>
        <w:rPr>
          <w:rFonts w:hint="eastAsia"/>
        </w:rPr>
        <w:t>4.1 环境风险识别模块</w:t>
      </w:r>
    </w:p>
    <w:p w14:paraId="5BA0459E">
      <w:pPr>
        <w:rPr>
          <w:rFonts w:hint="eastAsia"/>
        </w:rPr>
      </w:pPr>
      <w:r>
        <w:rPr>
          <w:rFonts w:hint="eastAsia"/>
        </w:rPr>
        <w:t>通过区域传感器网络，实时采集温湿度、PM2.5、PM10、VOCs、噪声、光照等环境参数，结合地区与作业场景个性化适配，完成环境风险精准分析。</w:t>
      </w:r>
    </w:p>
    <w:p w14:paraId="14804629">
      <w:pPr>
        <w:rPr>
          <w:rFonts w:hint="eastAsia"/>
        </w:rPr>
      </w:pPr>
      <w:r>
        <w:rPr>
          <w:rFonts w:hint="eastAsia"/>
        </w:rPr>
        <w:t>4.2 人群健康监测模块</w:t>
      </w:r>
    </w:p>
    <w:p w14:paraId="7D06253C">
      <w:pPr>
        <w:rPr>
          <w:rFonts w:hint="eastAsia"/>
        </w:rPr>
      </w:pPr>
      <w:r>
        <w:rPr>
          <w:rFonts w:hint="eastAsia"/>
        </w:rPr>
        <w:t>采用医疗级可穿戴设备，实时采集核心体温、心率、皮肤温度等生理指标。前端提供类型选择、进度展示、结果呈现功能；后端完成数据预处理、规则校验与报告生成，支撑智能分析服务。</w:t>
      </w:r>
    </w:p>
    <w:p w14:paraId="323CA6A0">
      <w:pPr>
        <w:rPr>
          <w:rFonts w:hint="eastAsia"/>
        </w:rPr>
      </w:pPr>
      <w:r>
        <w:rPr>
          <w:rFonts w:hint="eastAsia"/>
        </w:rPr>
        <w:t>4.3 关联分析模块</w:t>
      </w:r>
    </w:p>
    <w:p w14:paraId="2A4466F4">
      <w:pPr>
        <w:rPr>
          <w:rFonts w:hint="eastAsia"/>
        </w:rPr>
      </w:pPr>
      <w:r>
        <w:rPr>
          <w:rFonts w:hint="eastAsia"/>
        </w:rPr>
        <w:t>采用改进随机森林算法构建环境 - 健康关联模型，量化高温、高湿、PM2.5 等因素影响权重，生成个人分级健康提示与区域风险热力图，实现精准预警。</w:t>
      </w:r>
    </w:p>
    <w:p w14:paraId="0B4EF737">
      <w:pPr>
        <w:rPr>
          <w:rFonts w:hint="eastAsia"/>
        </w:rPr>
      </w:pPr>
      <w:r>
        <w:rPr>
          <w:rFonts w:hint="eastAsia"/>
        </w:rPr>
        <w:t>4.4 智能干预与闭环反馈模块</w:t>
      </w:r>
    </w:p>
    <w:p w14:paraId="54D3419A">
      <w:pPr>
        <w:rPr>
          <w:rFonts w:hint="eastAsia"/>
        </w:rPr>
      </w:pPr>
      <w:r>
        <w:rPr>
          <w:rFonts w:hint="eastAsia"/>
        </w:rPr>
        <w:t>系统内置 23 种标准化干预方案，根据场景自动匹配执行。执行后通过闭环反馈评估效果，调整干预策略，形成 PDCA 持续优化循环。</w:t>
      </w:r>
    </w:p>
    <w:p w14:paraId="43585D79">
      <w:pPr>
        <w:rPr>
          <w:rFonts w:hint="eastAsia"/>
        </w:rPr>
      </w:pPr>
      <w:r>
        <w:rPr>
          <w:rFonts w:hint="eastAsia"/>
        </w:rPr>
        <w:t>4.5 数据可视化平台</w:t>
      </w:r>
    </w:p>
    <w:p w14:paraId="69361106">
      <w:pPr>
        <w:rPr>
          <w:rFonts w:hint="eastAsia"/>
        </w:rPr>
      </w:pPr>
      <w:r>
        <w:rPr>
          <w:rFonts w:hint="eastAsia"/>
        </w:rPr>
        <w:t>采用 B/S 架构，提供企业端与个人端双界面。支持健康档案管理、作业排班优化、历史数据追溯、报告导出等功能，响应延迟＜2 秒，支持并发用户≥1000 人。</w:t>
      </w:r>
    </w:p>
    <w:p w14:paraId="08512A63">
      <w:pPr>
        <w:rPr>
          <w:rFonts w:hint="eastAsia"/>
        </w:rPr>
      </w:pPr>
      <w:r>
        <w:rPr>
          <w:rFonts w:hint="eastAsia"/>
        </w:rPr>
        <w:t>第五章 应用场景与解决方案</w:t>
      </w:r>
    </w:p>
    <w:p w14:paraId="75B51730">
      <w:pPr>
        <w:rPr>
          <w:rFonts w:hint="eastAsia"/>
        </w:rPr>
      </w:pPr>
      <w:r>
        <w:rPr>
          <w:rFonts w:hint="eastAsia"/>
        </w:rPr>
        <w:t>5.1 高温作业场景</w:t>
      </w:r>
    </w:p>
    <w:p w14:paraId="49850911">
      <w:pPr>
        <w:rPr>
          <w:rFonts w:hint="eastAsia"/>
        </w:rPr>
      </w:pPr>
      <w:r>
        <w:rPr>
          <w:rFonts w:hint="eastAsia"/>
        </w:rPr>
        <w:t>针对高温作业预警滞后、覆盖不全等痛点，部署环境传感器与可穿戴设备，通过 CDC 模型实现双要素协同监测，合理规划作业与休息时长，有效降低热射病发生风险。</w:t>
      </w:r>
    </w:p>
    <w:p w14:paraId="7E75AA42">
      <w:pPr>
        <w:rPr>
          <w:rFonts w:hint="eastAsia"/>
        </w:rPr>
      </w:pPr>
      <w:r>
        <w:rPr>
          <w:rFonts w:hint="eastAsia"/>
        </w:rPr>
        <w:t>5.2 老年慢病人群</w:t>
      </w:r>
    </w:p>
    <w:p w14:paraId="6B8BF94C">
      <w:pPr>
        <w:rPr>
          <w:rFonts w:hint="eastAsia"/>
        </w:rPr>
      </w:pPr>
      <w:r>
        <w:rPr>
          <w:rFonts w:hint="eastAsia"/>
        </w:rPr>
        <w:t>针对老年人体温调节退化、独居监护缺失等问题，采用贴肤式传感器建立个人 CDC 监测基线，结合慢病数据识别波动风险。核心体温偏离基线自动触发预警，将急发发现窗口提前 12-24 小时，降低重症发生率 40% 以上。</w:t>
      </w:r>
    </w:p>
    <w:p w14:paraId="093481BB">
      <w:pPr>
        <w:rPr>
          <w:rFonts w:hint="eastAsia"/>
        </w:rPr>
      </w:pPr>
      <w:r>
        <w:rPr>
          <w:rFonts w:hint="eastAsia"/>
        </w:rPr>
        <w:t>第六章 商业模式</w:t>
      </w:r>
    </w:p>
    <w:p w14:paraId="2F244858">
      <w:pPr>
        <w:rPr>
          <w:rFonts w:hint="eastAsia"/>
        </w:rPr>
      </w:pPr>
      <w:r>
        <w:rPr>
          <w:rFonts w:hint="eastAsia"/>
        </w:rPr>
        <w:t>6.1 价值主张</w:t>
      </w:r>
    </w:p>
    <w:p w14:paraId="25D976DA">
      <w:pPr>
        <w:rPr>
          <w:rFonts w:hint="eastAsia"/>
        </w:rPr>
      </w:pPr>
      <w:r>
        <w:rPr>
          <w:rFonts w:hint="eastAsia"/>
        </w:rPr>
        <w:t>为工业企业、公共卫生部门、社区医疗机构提供低成本、可量化、易部署的人群 - 环境风险评估工具，解决高危人群识别不精准、高危环境分级缺失、实时预警手段缺乏等问题。</w:t>
      </w:r>
    </w:p>
    <w:p w14:paraId="40810C1B">
      <w:pPr>
        <w:rPr>
          <w:rFonts w:hint="eastAsia"/>
        </w:rPr>
      </w:pPr>
      <w:r>
        <w:rPr>
          <w:rFonts w:hint="eastAsia"/>
        </w:rPr>
        <w:t>6.2 目标客户与细分市场</w:t>
      </w:r>
    </w:p>
    <w:p w14:paraId="0AEAD5FB">
      <w:pPr>
        <w:rPr>
          <w:rFonts w:hint="eastAsia"/>
        </w:rPr>
      </w:pPr>
      <w:r>
        <w:rPr>
          <w:rFonts w:hint="eastAsia"/>
        </w:rPr>
        <w:t>工业企业：钢铁、冶金、建筑、户外作业企业，核心需求为高温作业人员风险筛查与岗位调配。</w:t>
      </w:r>
    </w:p>
    <w:p w14:paraId="1DAA838D">
      <w:pPr>
        <w:rPr>
          <w:rFonts w:hint="eastAsia"/>
        </w:rPr>
      </w:pPr>
      <w:r>
        <w:rPr>
          <w:rFonts w:hint="eastAsia"/>
        </w:rPr>
        <w:t>社区卫生服务中心：慢病管理、老年健康服务站点，核心需求为慢病患者热适应性评估。</w:t>
      </w:r>
    </w:p>
    <w:p w14:paraId="29E89DF6">
      <w:pPr>
        <w:rPr>
          <w:rFonts w:hint="eastAsia"/>
        </w:rPr>
      </w:pPr>
      <w:r>
        <w:rPr>
          <w:rFonts w:hint="eastAsia"/>
        </w:rPr>
        <w:t>公共卫生部门：疾控中心、职业健康监管机构，核心需求为区域性高危环境监测与预警。</w:t>
      </w:r>
    </w:p>
    <w:p w14:paraId="5FC65500">
      <w:pPr>
        <w:rPr>
          <w:rFonts w:hint="eastAsia"/>
        </w:rPr>
      </w:pPr>
      <w:r>
        <w:rPr>
          <w:rFonts w:hint="eastAsia"/>
        </w:rPr>
        <w:t>6.3 核心产品与服务</w:t>
      </w:r>
    </w:p>
    <w:p w14:paraId="01112A85">
      <w:pPr>
        <w:rPr>
          <w:rFonts w:hint="eastAsia"/>
        </w:rPr>
      </w:pPr>
      <w:r>
        <w:rPr>
          <w:rFonts w:hint="eastAsia"/>
        </w:rPr>
        <w:t>提供硬件 + 软件 + 模型服务三位一体解决方案：硬件为有机干电极穿戴设备，采集心率、皮温等信号；软件为数据采集系统、CDC 风险计算引擎、可视化管理平台；服务为高危人群筛查报告、环境分级报告、实时预警与调度建议。</w:t>
      </w:r>
    </w:p>
    <w:p w14:paraId="4D49154A">
      <w:pPr>
        <w:rPr>
          <w:rFonts w:hint="eastAsia"/>
        </w:rPr>
      </w:pPr>
      <w:r>
        <w:rPr>
          <w:rFonts w:hint="eastAsia"/>
        </w:rPr>
        <w:t>6.4 收入来源</w:t>
      </w:r>
    </w:p>
    <w:p w14:paraId="7087084B">
      <w:pPr>
        <w:rPr>
          <w:rFonts w:hint="eastAsia"/>
        </w:rPr>
      </w:pPr>
      <w:r>
        <w:rPr>
          <w:rFonts w:hint="eastAsia"/>
        </w:rPr>
        <w:t>风险筛查服务：按项目收费，0.5-2 万元 / 次。</w:t>
      </w:r>
    </w:p>
    <w:p w14:paraId="26516F98">
      <w:pPr>
        <w:rPr>
          <w:rFonts w:hint="eastAsia"/>
        </w:rPr>
      </w:pPr>
      <w:r>
        <w:rPr>
          <w:rFonts w:hint="eastAsia"/>
        </w:rPr>
        <w:t>SaaS 订阅：平台按年订阅，2000-8000 元 / 年。</w:t>
      </w:r>
    </w:p>
    <w:p w14:paraId="3599A419">
      <w:pPr>
        <w:rPr>
          <w:rFonts w:hint="eastAsia"/>
        </w:rPr>
      </w:pPr>
      <w:r>
        <w:rPr>
          <w:rFonts w:hint="eastAsia"/>
        </w:rPr>
        <w:t>设备销售 / 租赁：穿戴设备销售或按月租赁。</w:t>
      </w:r>
    </w:p>
    <w:p w14:paraId="6BBB1667">
      <w:pPr>
        <w:rPr>
          <w:rFonts w:hint="eastAsia"/>
        </w:rPr>
      </w:pPr>
      <w:r>
        <w:rPr>
          <w:rFonts w:hint="eastAsia"/>
        </w:rPr>
        <w:t>政府课题经费：与疾控、职业健康机构合作申报项目。</w:t>
      </w:r>
    </w:p>
    <w:p w14:paraId="3A396553">
      <w:pPr>
        <w:rPr>
          <w:rFonts w:hint="eastAsia"/>
        </w:rPr>
      </w:pPr>
      <w:r>
        <w:rPr>
          <w:rFonts w:hint="eastAsia"/>
        </w:rPr>
        <w:t>6.5 核心资源与合作伙伴</w:t>
      </w:r>
    </w:p>
    <w:p w14:paraId="1371C1A0">
      <w:pPr>
        <w:rPr>
          <w:rFonts w:hint="eastAsia"/>
        </w:rPr>
      </w:pPr>
      <w:r>
        <w:rPr>
          <w:rFonts w:hint="eastAsia"/>
        </w:rPr>
        <w:t>技术资源：CDC 模型算法、自研管理平台、生理信号处理能力。</w:t>
      </w:r>
    </w:p>
    <w:p w14:paraId="100512E7">
      <w:pPr>
        <w:rPr>
          <w:rFonts w:hint="eastAsia"/>
        </w:rPr>
      </w:pPr>
      <w:r>
        <w:rPr>
          <w:rFonts w:hint="eastAsia"/>
        </w:rPr>
        <w:t>硬件合作：柔性电子团队或厂商联合生产干电极设备。</w:t>
      </w:r>
    </w:p>
    <w:p w14:paraId="0A4F927C">
      <w:pPr>
        <w:rPr>
          <w:rFonts w:hint="eastAsia"/>
        </w:rPr>
      </w:pPr>
      <w:r>
        <w:rPr>
          <w:rFonts w:hint="eastAsia"/>
        </w:rPr>
        <w:t>渠道伙伴：地方疾控中心、职业健康协会、工业园区管委会。</w:t>
      </w:r>
    </w:p>
    <w:p w14:paraId="106174FA">
      <w:pPr>
        <w:rPr>
          <w:rFonts w:hint="eastAsia"/>
        </w:rPr>
      </w:pPr>
      <w:r>
        <w:rPr>
          <w:rFonts w:hint="eastAsia"/>
        </w:rPr>
        <w:t>学术支持：重庆科技大学机械电子系及相关研究机构。</w:t>
      </w:r>
    </w:p>
    <w:p w14:paraId="1EE2CF2A">
      <w:pPr>
        <w:rPr>
          <w:rFonts w:hint="eastAsia"/>
        </w:rPr>
      </w:pPr>
      <w:r>
        <w:rPr>
          <w:rFonts w:hint="eastAsia"/>
        </w:rPr>
        <w:t>第七章 市场推广策略</w:t>
      </w:r>
    </w:p>
    <w:p w14:paraId="1AF4ECE3">
      <w:pPr>
        <w:rPr>
          <w:rFonts w:hint="eastAsia"/>
        </w:rPr>
      </w:pPr>
      <w:r>
        <w:rPr>
          <w:rFonts w:hint="eastAsia"/>
        </w:rPr>
        <w:t>7.1 目标客户分层策略</w:t>
      </w:r>
    </w:p>
    <w:p w14:paraId="7835B3F3">
      <w:pPr>
        <w:rPr>
          <w:rFonts w:hint="eastAsia"/>
        </w:rPr>
      </w:pPr>
      <w:r>
        <w:rPr>
          <w:rFonts w:hint="eastAsia"/>
        </w:rPr>
        <w:t>政府及公共卫生部门：侧重公共卫生价值、应急管理能力提升、区域健康防护效率。</w:t>
      </w:r>
    </w:p>
    <w:p w14:paraId="648FA816">
      <w:pPr>
        <w:rPr>
          <w:rFonts w:hint="eastAsia"/>
        </w:rPr>
      </w:pPr>
      <w:r>
        <w:rPr>
          <w:rFonts w:hint="eastAsia"/>
        </w:rPr>
        <w:t>企业及园区管理方：聚焦职业健康合规、员工安全保障、用工风险与医疗成本降低。</w:t>
      </w:r>
    </w:p>
    <w:p w14:paraId="6B3E4F67">
      <w:pPr>
        <w:rPr>
          <w:rFonts w:hint="eastAsia"/>
        </w:rPr>
      </w:pPr>
      <w:r>
        <w:rPr>
          <w:rFonts w:hint="eastAsia"/>
        </w:rPr>
        <w:t>7.2 渠道与合作伙伴生态建设</w:t>
      </w:r>
    </w:p>
    <w:p w14:paraId="77944760">
      <w:pPr>
        <w:rPr>
          <w:rFonts w:hint="eastAsia"/>
        </w:rPr>
      </w:pPr>
      <w:r>
        <w:rPr>
          <w:rFonts w:hint="eastAsia"/>
        </w:rPr>
        <w:t>以标杆项目形成示范效应，构建产学研用协同生态。联合高校与科研机构开展技术验证，加入行业协会参与标准制定，提升品牌专业度与行业影响力。</w:t>
      </w:r>
    </w:p>
    <w:p w14:paraId="6A829065">
      <w:pPr>
        <w:rPr>
          <w:rFonts w:hint="eastAsia"/>
        </w:rPr>
      </w:pPr>
      <w:r>
        <w:rPr>
          <w:rFonts w:hint="eastAsia"/>
        </w:rPr>
        <w:t>7.3 推广核心要点</w:t>
      </w:r>
    </w:p>
    <w:p w14:paraId="2A03D974">
      <w:pPr>
        <w:rPr>
          <w:rFonts w:hint="eastAsia"/>
        </w:rPr>
      </w:pPr>
      <w:r>
        <w:rPr>
          <w:rFonts w:hint="eastAsia"/>
        </w:rPr>
        <w:t>强化系统级协同筛查的不可替代性，突出多源数据融合与跨场景适配能力；以临床数据、标杆案例、权威认证构建推广证据链；通过生态合作降低获客成本，实现市场快速扩张。</w:t>
      </w:r>
    </w:p>
    <w:p w14:paraId="35D14CD2">
      <w:pPr>
        <w:rPr>
          <w:rFonts w:hint="eastAsia"/>
        </w:rPr>
      </w:pPr>
      <w:r>
        <w:rPr>
          <w:rFonts w:hint="eastAsia"/>
        </w:rPr>
        <w:t>第八章 运营计划</w:t>
      </w:r>
    </w:p>
    <w:p w14:paraId="16B37B47">
      <w:pPr>
        <w:rPr>
          <w:rFonts w:hint="eastAsia"/>
        </w:rPr>
      </w:pPr>
      <w:r>
        <w:rPr>
          <w:rFonts w:hint="eastAsia"/>
        </w:rPr>
        <w:t>8.1 系统研发与迭代</w:t>
      </w:r>
    </w:p>
    <w:p w14:paraId="37E0178F">
      <w:pPr>
        <w:rPr>
          <w:rFonts w:hint="eastAsia"/>
        </w:rPr>
      </w:pPr>
      <w:r>
        <w:rPr>
          <w:rFonts w:hint="eastAsia"/>
        </w:rPr>
        <w:t>半年内完成环境 - 人群关联算法 V2.0 开发，优化多源异构数据融合能力，提升高风险人群识别准确率与环境因素关联强度，支撑核心功能升级。</w:t>
      </w:r>
    </w:p>
    <w:p w14:paraId="0F711EE9">
      <w:pPr>
        <w:rPr>
          <w:rFonts w:hint="eastAsia"/>
        </w:rPr>
      </w:pPr>
      <w:r>
        <w:rPr>
          <w:rFonts w:hint="eastAsia"/>
        </w:rPr>
        <w:t>8.2 部署实施体系</w:t>
      </w:r>
    </w:p>
    <w:p w14:paraId="7196E2E4">
      <w:pPr>
        <w:rPr>
          <w:rFonts w:hint="eastAsia"/>
        </w:rPr>
      </w:pPr>
      <w:r>
        <w:rPr>
          <w:rFonts w:hint="eastAsia"/>
        </w:rPr>
        <w:t>采用标准化交付流程，组建专业实施团队，需求调研、配置、上线验收全周期控制在 45 个工作日内，通过模块化部署与预配置模板提升效率。</w:t>
      </w:r>
    </w:p>
    <w:p w14:paraId="052DD4B2">
      <w:pPr>
        <w:rPr>
          <w:rFonts w:hint="eastAsia"/>
        </w:rPr>
      </w:pPr>
      <w:r>
        <w:rPr>
          <w:rFonts w:hint="eastAsia"/>
        </w:rPr>
        <w:t>8.3 数据安全与隐私保护</w:t>
      </w:r>
    </w:p>
    <w:p w14:paraId="33890162">
      <w:pPr>
        <w:rPr>
          <w:rFonts w:hint="eastAsia"/>
        </w:rPr>
      </w:pPr>
      <w:r>
        <w:rPr>
          <w:rFonts w:hint="eastAsia"/>
        </w:rPr>
        <w:t>严格遵循 HIPAA 标准与国家数据合规要求，构建三层防护体系：传输采用 TLS 1.3 加密，存储采用 AES-256 加密，权限采用 RBAC 模型管理，全链路操作日志留存≥6 年，保障数据全生命周期安全。</w:t>
      </w:r>
    </w:p>
    <w:p w14:paraId="4F6865A7">
      <w:pPr>
        <w:rPr>
          <w:rFonts w:hint="eastAsia"/>
        </w:rPr>
      </w:pPr>
      <w:r>
        <w:rPr>
          <w:rFonts w:hint="eastAsia"/>
        </w:rPr>
        <w:t>第九章 财务规划</w:t>
      </w:r>
    </w:p>
    <w:p w14:paraId="6C26030D">
      <w:pPr>
        <w:rPr>
          <w:rFonts w:hint="eastAsia"/>
        </w:rPr>
      </w:pPr>
      <w:r>
        <w:rPr>
          <w:rFonts w:hint="eastAsia"/>
        </w:rPr>
        <w:t>9.1 资金用途与研发投入</w:t>
      </w:r>
    </w:p>
    <w:p w14:paraId="10F0CE42">
      <w:pPr>
        <w:rPr>
          <w:rFonts w:hint="eastAsia"/>
        </w:rPr>
      </w:pPr>
      <w:r>
        <w:rPr>
          <w:rFonts w:hint="eastAsia"/>
        </w:rPr>
        <w:t>资金遵循研发优先、场景落地原则，研发投入占总资金 45%，重点用于环境风险评估算法迭代、实时预警引擎构建、高风险人群画像训练；剩余资金按 30%、25% 分配至硬件采购与市场拓展。</w:t>
      </w:r>
    </w:p>
    <w:p w14:paraId="723256EA">
      <w:pPr>
        <w:rPr>
          <w:rFonts w:hint="eastAsia"/>
        </w:rPr>
      </w:pPr>
      <w:r>
        <w:rPr>
          <w:rFonts w:hint="eastAsia"/>
        </w:rPr>
        <w:t>9.2 成本结构与毛利率分析</w:t>
      </w:r>
    </w:p>
    <w:p w14:paraId="251A9081">
      <w:pPr>
        <w:rPr>
          <w:rFonts w:hint="eastAsia"/>
        </w:rPr>
      </w:pPr>
      <w:r>
        <w:rPr>
          <w:rFonts w:hint="eastAsia"/>
        </w:rPr>
        <w:t>传统硬件毛利率 25-30%，本系统解决方案毛利率可达 60-70%。核心驱动为高附加值软件模块、可复用技术架构、长期服务订阅稳定现金流，第三年综合毛利率目标 55%。</w:t>
      </w:r>
    </w:p>
    <w:p w14:paraId="28E666F4">
      <w:pPr>
        <w:rPr>
          <w:rFonts w:hint="eastAsia"/>
        </w:rPr>
      </w:pPr>
      <w:r>
        <w:rPr>
          <w:rFonts w:hint="eastAsia"/>
        </w:rPr>
        <w:t>9.3 盈利预期与市场驱动</w:t>
      </w:r>
    </w:p>
    <w:p w14:paraId="17EAAEFB">
      <w:pPr>
        <w:rPr>
          <w:rFonts w:hint="eastAsia"/>
        </w:rPr>
      </w:pPr>
      <w:r>
        <w:rPr>
          <w:rFonts w:hint="eastAsia"/>
        </w:rPr>
        <w:t>环境健康监测市场年复合增长率 24%，2026 年规模突破 380 亿元。项目计划 3 年内实现 5% 市场渗透率，年营收 19 亿元；在政府签约率 30%、企业续约率 85% 的假设下，第四年净利润率达 18%。</w:t>
      </w:r>
    </w:p>
    <w:p w14:paraId="6844670B">
      <w:pPr>
        <w:rPr>
          <w:rFonts w:hint="eastAsia"/>
        </w:rPr>
      </w:pPr>
      <w:r>
        <w:rPr>
          <w:rFonts w:hint="eastAsia"/>
        </w:rPr>
        <w:t>9.4 投资回报关键假设</w:t>
      </w:r>
    </w:p>
    <w:p w14:paraId="29A7E94D">
      <w:pPr>
        <w:rPr>
          <w:rFonts w:hint="eastAsia"/>
        </w:rPr>
      </w:pPr>
      <w:r>
        <w:rPr>
          <w:rFonts w:hint="eastAsia"/>
        </w:rPr>
        <w:t>年签约政府项目 15-20 个，单个项目平均金额 800 万元，签约率不低于 25%；研发投入转化周期控制在 18 个月内；系统集成成本随规模下降 15-20%，销售费用率维持 12% 以内。项目预计投资回收期 3.8 年，5 年内部收益率达 28%。</w:t>
      </w:r>
    </w:p>
    <w:p w14:paraId="1E720663">
      <w:pPr>
        <w:rPr>
          <w:rFonts w:hint="eastAsia"/>
        </w:rPr>
      </w:pPr>
      <w:r>
        <w:rPr>
          <w:rFonts w:hint="eastAsia"/>
        </w:rPr>
        <w:t>第十章 风险分析与应对</w:t>
      </w:r>
    </w:p>
    <w:p w14:paraId="64D20720">
      <w:pPr>
        <w:rPr>
          <w:rFonts w:hint="eastAsia"/>
        </w:rPr>
      </w:pPr>
      <w:r>
        <w:rPr>
          <w:rFonts w:hint="eastAsia"/>
        </w:rPr>
        <w:t>10.1 数据安全风险：合规性与脱敏机制</w:t>
      </w:r>
    </w:p>
    <w:p w14:paraId="73A2F4EC">
      <w:pPr>
        <w:rPr>
          <w:rFonts w:hint="eastAsia"/>
        </w:rPr>
      </w:pPr>
      <w:r>
        <w:rPr>
          <w:rFonts w:hint="eastAsia"/>
        </w:rPr>
        <w:t>严格遵循《个人信息保护法》，采用数据不动模型动架构，原始数据本地存储，加密传输特征向量。实施字段级脱敏、地理位置模糊化、差分隐私三重处理，数据重识别风险低于 0.001%，符合国家信息安全三级规范。</w:t>
      </w:r>
    </w:p>
    <w:p w14:paraId="556385A1">
      <w:r>
        <w:rPr>
          <w:rFonts w:hint="eastAsia"/>
        </w:rPr>
        <w:t>10.2 市场教育风险：分层次推广策略针对不同对象开展差异化教育：政府端开展政策解读会，展示成本节约与管理效益；企业端提供定制化 ROI 分析工具，量化效率提升与支出降低。试点数据显示，分层教育后政府采购意向提升 40%，机构合作意愿达 82%。</w:t>
      </w:r>
    </w:p>
    <w:sectPr>
      <w:pgSz w:w="11906" w:h="16838"/>
      <w:pgMar w:top="2098" w:right="1474" w:bottom="1984" w:left="1587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1C6A9F"/>
    <w:rsid w:val="7FBDA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2026-04-15T23:39:00Z</dcterms:created>
  <dc:creator>wjz</dc:creator>
  <cp:lastModifiedBy>郑理丰</cp:lastModifiedBy>
  <dcterms:modified xsi:type="dcterms:W3CDTF">2026-04-17T13:31:20Z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eyJoZGlkIjoiMDczMzY4OTE1YWQxZTFlZmEyYWRhMjE3YmExM2ViMDgiLCJ1c2VySWQiOiIxNzUyMjAyOTg0In0=</vt:lpwstr>
  </property>
  <property fmtid="{D5CDD505-2E9C-101B-9397-08002B2CF9AE}" pid="4" name="ICV">
    <vt:lpwstr>F78BFFDA024B9D2EA8C5E169E7729226_43</vt:lpwstr>
  </property>
</Properties>
</file>