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4D14B" w14:textId="77777777" w:rsidR="00163D30" w:rsidRPr="00163D30" w:rsidRDefault="00163D30" w:rsidP="00163D30">
      <w:pPr>
        <w:rPr>
          <w:b/>
          <w:bCs/>
        </w:rPr>
      </w:pPr>
      <w:r w:rsidRPr="00163D30">
        <w:rPr>
          <w:b/>
          <w:bCs/>
        </w:rPr>
        <w:t>Q4 — 提案的利弊是什么？（</w:t>
      </w:r>
      <w:proofErr w:type="gramStart"/>
      <w:r w:rsidRPr="00163D30">
        <w:rPr>
          <w:b/>
          <w:bCs/>
        </w:rPr>
        <w:t>整合版</w:t>
      </w:r>
      <w:proofErr w:type="gramEnd"/>
      <w:r w:rsidRPr="00163D30">
        <w:rPr>
          <w:b/>
          <w:bCs/>
        </w:rPr>
        <w:t>中文回答）</w:t>
      </w:r>
    </w:p>
    <w:p w14:paraId="3B4DEBCF" w14:textId="77777777" w:rsidR="00163D30" w:rsidRPr="00163D30" w:rsidRDefault="00163D30" w:rsidP="00163D30">
      <w:r w:rsidRPr="00163D30">
        <w:t>从对 Airbnb 数据、Borough 空间分布、运营结构与入住活跃度的综合分析来看，这项针对“专业房东”的短租管制提案呈现出</w:t>
      </w:r>
      <w:r w:rsidRPr="00163D30">
        <w:rPr>
          <w:b/>
          <w:bCs/>
        </w:rPr>
        <w:t>高度集中收益与高度集中风险并存</w:t>
      </w:r>
      <w:r w:rsidRPr="00163D30">
        <w:t>的特征。总体上，它确实精准指向了伦敦短租市场中商业化最强、对社区压力最大的部分，但与此同时，它也会对某些旅游需求、城市形象与部分服务业链条带来显著副作用。</w:t>
      </w:r>
    </w:p>
    <w:p w14:paraId="375C3B91" w14:textId="77777777" w:rsidR="00163D30" w:rsidRPr="00163D30" w:rsidRDefault="00163D30" w:rsidP="00163D30">
      <w:r w:rsidRPr="00163D30">
        <w:t xml:space="preserve">首先，从全市层面来看，Airbnb 已不再是“共享经济”的典型形态，而是被商业化的专业运营者牢牢掌控。目前 85,816 条房源中，约 </w:t>
      </w:r>
      <w:r w:rsidRPr="00163D30">
        <w:rPr>
          <w:b/>
          <w:bCs/>
        </w:rPr>
        <w:t>29.7%（25,512 套）属于我们识别的专业房东，但这部分房源却贡献了48.35% 的潜在全年收益</w:t>
      </w:r>
      <w:r w:rsidRPr="00163D30">
        <w:t>——接近一半的市场利润集中在</w:t>
      </w:r>
      <w:proofErr w:type="gramStart"/>
      <w:r w:rsidRPr="00163D30">
        <w:t>不足三分之一</w:t>
      </w:r>
      <w:proofErr w:type="gramEnd"/>
      <w:r w:rsidRPr="00163D30">
        <w:t>的房源手中，说明该市场早已形成结构性的商业占优格局。进一步分析发现，在这些被政策影响的房源中，</w:t>
      </w:r>
      <w:r w:rsidRPr="00163D30">
        <w:rPr>
          <w:b/>
          <w:bCs/>
        </w:rPr>
        <w:t xml:space="preserve">超过 60% 来自拥有 6 </w:t>
      </w:r>
      <w:proofErr w:type="gramStart"/>
      <w:r w:rsidRPr="00163D30">
        <w:rPr>
          <w:b/>
          <w:bCs/>
        </w:rPr>
        <w:t>套以上</w:t>
      </w:r>
      <w:proofErr w:type="gramEnd"/>
      <w:r w:rsidRPr="00163D30">
        <w:rPr>
          <w:b/>
          <w:bCs/>
        </w:rPr>
        <w:t>房源的专业运营者</w:t>
      </w:r>
      <w:r w:rsidRPr="00163D30">
        <w:t>，显示提案确实在“精准打击商业化运营”而非普通家庭房东。这为市长提供了强有力的政治叙事基础：政策针对的是“城市中的迷你酒店网络”，而不是伦敦的普通居民。</w:t>
      </w:r>
    </w:p>
    <w:p w14:paraId="6865FB92" w14:textId="77777777" w:rsidR="00163D30" w:rsidRPr="00163D30" w:rsidRDefault="00163D30" w:rsidP="00163D30">
      <w:r w:rsidRPr="00163D30">
        <w:t>其次，空间分析揭示了这项政策的核心意义：短租压力在伦敦极不均匀，在某些 Borough 具有强烈的集中性。例如 City of London 中，</w:t>
      </w:r>
      <w:r w:rsidRPr="00163D30">
        <w:rPr>
          <w:b/>
          <w:bCs/>
        </w:rPr>
        <w:t>59.3% 的房源是专业房东</w:t>
      </w:r>
      <w:r w:rsidRPr="00163D30">
        <w:t xml:space="preserve">，而 Hillingdon、Redbridge、Havering、Bexley 等区也都接近或超过 </w:t>
      </w:r>
      <w:r w:rsidRPr="00163D30">
        <w:rPr>
          <w:b/>
          <w:bCs/>
        </w:rPr>
        <w:t>40%</w:t>
      </w:r>
      <w:r w:rsidRPr="00163D30">
        <w:t xml:space="preserve">。同时，专业房东房源的评论频率显著更高，平均评论数比普通房东高 </w:t>
      </w:r>
      <w:r w:rsidRPr="00163D30">
        <w:rPr>
          <w:b/>
          <w:bCs/>
        </w:rPr>
        <w:t>33.7%</w:t>
      </w:r>
      <w:r w:rsidRPr="00163D30">
        <w:t>，表明这些房源有更高的人员流动性、入住周转更快，对楼道管理、安静环境与邻里关系的冲击更强。在这些“高压区”，政策若实施，居民的实际生活感受会最明显改善：噪音减少、周转降低、楼道秩序更稳定，因此收益将高度集中于这些社区。</w:t>
      </w:r>
    </w:p>
    <w:p w14:paraId="2B70FE56" w14:textId="77777777" w:rsidR="00163D30" w:rsidRPr="00163D30" w:rsidRDefault="00163D30" w:rsidP="00163D30">
      <w:r w:rsidRPr="00163D30">
        <w:t xml:space="preserve">此外，通过将 Airbnb 数据与 ONS 租金信息拼接，我们构建了一个“房源回流情景”推演。如果专业短租房源中有 </w:t>
      </w:r>
      <w:r w:rsidRPr="00163D30">
        <w:rPr>
          <w:b/>
          <w:bCs/>
        </w:rPr>
        <w:t>5–10%</w:t>
      </w:r>
      <w:r w:rsidRPr="00163D30">
        <w:t xml:space="preserve"> 回流长期租赁市场，像 City of London 这种短租占比极高、PRS 基数较小的区会出现非常可观的租赁供给上升，有机会对结构性紧张的租赁市场产生实质性缓释。这为市长提供了一个对公众易于理解的解释：并非要“反游客”，而是通过收紧高度商业化的短租，提高本地人的住房可及性，让城市“更像一个住人的地方”。</w:t>
      </w:r>
    </w:p>
    <w:p w14:paraId="28D9EB1B" w14:textId="77777777" w:rsidR="00163D30" w:rsidRPr="00163D30" w:rsidRDefault="00163D30" w:rsidP="00163D30">
      <w:r w:rsidRPr="00163D30">
        <w:t>然而，这项提案也不是没有重大代价。首先，短租行业已形成完整的服务链条，包括托管管理公司、清洁团队、小规模物业公司等。由于约 60% 的被影响房源来自中大型商业运营者，监管强化势必会减少这些房源的活跃度或导致部分退出市场，从而影响相关就业与城市服务业。其次，提案会显著减少“整套短租房”的供给——在被影响的房源中，</w:t>
      </w:r>
      <w:r w:rsidRPr="00163D30">
        <w:rPr>
          <w:b/>
          <w:bCs/>
        </w:rPr>
        <w:t>69.16% 是 Entire home/apt</w:t>
      </w:r>
      <w:r w:rsidRPr="00163D30">
        <w:t>，其中</w:t>
      </w:r>
      <w:r w:rsidRPr="00163D30">
        <w:rPr>
          <w:b/>
          <w:bCs/>
        </w:rPr>
        <w:t>62.26% 只要求 1–2 晚入住</w:t>
      </w:r>
      <w:r w:rsidRPr="00163D30">
        <w:t>，这是家庭游客、小团体游客和多天停留旅客最依赖的住宿形式。若这些房源减少或价格上升，伦敦可能因为住宿结构变得更“酒店化”而在国际游客群体中呈现“不够灵活”或“对游客不友好”的形象。</w:t>
      </w:r>
    </w:p>
    <w:p w14:paraId="4B1D37AF" w14:textId="77777777" w:rsidR="00163D30" w:rsidRPr="00163D30" w:rsidRDefault="00163D30" w:rsidP="00163D30">
      <w:r w:rsidRPr="00163D30">
        <w:t>同时，伦敦并非所有 Borough 都存在同等程度的短租压力。在 Bromley、Sutton 等区，专业房东占比明显较低，社区压力较小。若实施“一刀切”的强监管，这些 Borough 将付出较高的行政与合</w:t>
      </w:r>
      <w:proofErr w:type="gramStart"/>
      <w:r w:rsidRPr="00163D30">
        <w:t>规</w:t>
      </w:r>
      <w:proofErr w:type="gramEnd"/>
      <w:r w:rsidRPr="00163D30">
        <w:t>成本，却无法获得同等的住房或社区收益，容易引发对政策公平性的质疑。因此，提案若不分区分级实施，可能在这些低压</w:t>
      </w:r>
      <w:proofErr w:type="gramStart"/>
      <w:r w:rsidRPr="00163D30">
        <w:t>力区域</w:t>
      </w:r>
      <w:proofErr w:type="gramEnd"/>
      <w:r w:rsidRPr="00163D30">
        <w:t>制造“过度监管”的负面舆论。</w:t>
      </w:r>
    </w:p>
    <w:p w14:paraId="3AEE1C5A" w14:textId="77777777" w:rsidR="00163D30" w:rsidRPr="00163D30" w:rsidRDefault="00163D30" w:rsidP="00163D30">
      <w:r w:rsidRPr="00163D30">
        <w:t>最后，我们也坦诚指出分析的局限性：潜在收益基于“365 天可租”的上限估算；评论数作为活跃度指标带有噪音；空间分析在 Borough 层级无法识别街区级别的热点；5–10% 的“回流情景”属于政策模拟而非预测；少数商业主体可能多账号或重复发布同一房源，使“listing 数量”与“真实房屋数量”不完全一致。这些局限不会改变结论方向，但提醒市长在公共沟通中应强调“缓解压力”“增强供给空间”，而谨慎避免过度承诺“房租一定下降”。</w:t>
      </w:r>
    </w:p>
    <w:p w14:paraId="5BC27220" w14:textId="77777777" w:rsidR="00163D30" w:rsidRPr="00163D30" w:rsidRDefault="00163D30" w:rsidP="00163D30">
      <w:r w:rsidRPr="00163D30">
        <w:rPr>
          <w:b/>
          <w:bCs/>
        </w:rPr>
        <w:t>综合来看，这项提案对高短租压力区域和常住居民的收益显著，而对短租产业链、家庭游客与部分</w:t>
      </w:r>
      <w:proofErr w:type="gramStart"/>
      <w:r w:rsidRPr="00163D30">
        <w:rPr>
          <w:b/>
          <w:bCs/>
        </w:rPr>
        <w:t>低压力区的</w:t>
      </w:r>
      <w:proofErr w:type="gramEnd"/>
      <w:r w:rsidRPr="00163D30">
        <w:rPr>
          <w:b/>
          <w:bCs/>
        </w:rPr>
        <w:t>冲击也不可忽视。它既是一项具有明确目标的住房与社区治理工具，也是一项需要精心设计执行细节、避免“一刀切”的敏感政策。</w:t>
      </w:r>
      <w:proofErr w:type="gramStart"/>
      <w:r w:rsidRPr="00163D30">
        <w:rPr>
          <w:b/>
          <w:bCs/>
        </w:rPr>
        <w:t>若市长</w:t>
      </w:r>
      <w:proofErr w:type="gramEnd"/>
      <w:r w:rsidRPr="00163D30">
        <w:rPr>
          <w:b/>
          <w:bCs/>
        </w:rPr>
        <w:t>选择支持，最佳策略是在政策叙事上强调“精准治理商业化短租”，并结合分区分级的实施方式，以最大化社区</w:t>
      </w:r>
      <w:r w:rsidRPr="00163D30">
        <w:rPr>
          <w:b/>
          <w:bCs/>
        </w:rPr>
        <w:lastRenderedPageBreak/>
        <w:t>收益、最小化经济与舆论副作用。</w:t>
      </w:r>
    </w:p>
    <w:p w14:paraId="7A28A0AE" w14:textId="77777777" w:rsidR="00163D30" w:rsidRDefault="00163D30" w:rsidP="00DE5169"/>
    <w:p w14:paraId="1F75D6B3" w14:textId="77777777" w:rsidR="00163D30" w:rsidRDefault="00163D30" w:rsidP="00DE5169"/>
    <w:p w14:paraId="33DCEF49" w14:textId="77777777" w:rsidR="00163D30" w:rsidRPr="00163D30" w:rsidRDefault="00163D30" w:rsidP="00DE5169">
      <w:pPr>
        <w:rPr>
          <w:rFonts w:hint="eastAsia"/>
        </w:rPr>
      </w:pPr>
    </w:p>
    <w:p w14:paraId="3AEE78E8" w14:textId="2A8CE48C" w:rsidR="00DE5169" w:rsidRPr="00DE5169" w:rsidRDefault="00DE5169" w:rsidP="00DE5169">
      <w:r w:rsidRPr="00DE5169">
        <w:t xml:space="preserve">Our analysis of Airbnb listings, spatial patterns across London boroughs, host portfolio structures, rental market data, and activity levels suggests that the opposition’s proposal would have </w:t>
      </w:r>
      <w:r w:rsidRPr="00DE5169">
        <w:rPr>
          <w:b/>
          <w:bCs/>
        </w:rPr>
        <w:t>highly concentrated benefits and highly concentrated costs</w:t>
      </w:r>
      <w:r w:rsidRPr="00DE5169">
        <w:t xml:space="preserve">. Overall, the measure very clearly targets the commercial core of London’s STR market, reducing pressure in the </w:t>
      </w:r>
      <w:proofErr w:type="spellStart"/>
      <w:r w:rsidRPr="00DE5169">
        <w:t>neighbourhoods</w:t>
      </w:r>
      <w:proofErr w:type="spellEnd"/>
      <w:r w:rsidRPr="00DE5169">
        <w:t xml:space="preserve"> most affected by high-turnover activity, while simultaneously posing significant trade-offs for tourism, the STR service economy, and some low-pressure boroughs.</w:t>
      </w:r>
    </w:p>
    <w:p w14:paraId="69A14268" w14:textId="77777777" w:rsidR="00DE5169" w:rsidRPr="00DE5169" w:rsidRDefault="00DE5169" w:rsidP="00DE5169">
      <w:r w:rsidRPr="00DE5169">
        <w:t xml:space="preserve">To begin, the empirical evidence demonstrates that London’s STR market is no longer a “sharing economy” but a </w:t>
      </w:r>
      <w:proofErr w:type="spellStart"/>
      <w:r w:rsidRPr="00DE5169">
        <w:rPr>
          <w:b/>
          <w:bCs/>
        </w:rPr>
        <w:t>commercialised</w:t>
      </w:r>
      <w:proofErr w:type="spellEnd"/>
      <w:r w:rsidRPr="00DE5169">
        <w:rPr>
          <w:b/>
          <w:bCs/>
        </w:rPr>
        <w:t xml:space="preserve">, </w:t>
      </w:r>
      <w:proofErr w:type="spellStart"/>
      <w:r w:rsidRPr="00DE5169">
        <w:rPr>
          <w:b/>
          <w:bCs/>
        </w:rPr>
        <w:t>professionalised</w:t>
      </w:r>
      <w:proofErr w:type="spellEnd"/>
      <w:r w:rsidRPr="00DE5169">
        <w:rPr>
          <w:b/>
          <w:bCs/>
        </w:rPr>
        <w:t xml:space="preserve"> sector</w:t>
      </w:r>
      <w:r w:rsidRPr="00DE5169">
        <w:t xml:space="preserve">. Of the 85,816 listings in the dataset, </w:t>
      </w:r>
      <w:r w:rsidRPr="00DE5169">
        <w:rPr>
          <w:b/>
          <w:bCs/>
        </w:rPr>
        <w:t>29.7% (25,512)</w:t>
      </w:r>
      <w:r w:rsidRPr="00DE5169">
        <w:t xml:space="preserve"> are identified as professional hosts, yet they capture </w:t>
      </w:r>
      <w:r w:rsidRPr="00DE5169">
        <w:rPr>
          <w:b/>
          <w:bCs/>
        </w:rPr>
        <w:t xml:space="preserve">48.35% of all potential annual </w:t>
      </w:r>
      <w:proofErr w:type="gramStart"/>
      <w:r w:rsidRPr="00DE5169">
        <w:rPr>
          <w:b/>
          <w:bCs/>
        </w:rPr>
        <w:t>revenue</w:t>
      </w:r>
      <w:r w:rsidRPr="00DE5169">
        <w:t>—</w:t>
      </w:r>
      <w:proofErr w:type="gramEnd"/>
      <w:r w:rsidRPr="00DE5169">
        <w:t xml:space="preserve">almost half of the market’s upper-bound earnings. This concentration confirms that a relatively small group of operators has come to dominate supply and profit flows. Moreover, within the affected group, over </w:t>
      </w:r>
      <w:r w:rsidRPr="00DE5169">
        <w:rPr>
          <w:b/>
          <w:bCs/>
        </w:rPr>
        <w:t>60% of listings are owned by hosts with six or more properties</w:t>
      </w:r>
      <w:r w:rsidRPr="00DE5169">
        <w:t xml:space="preserve">, indicating that the proposal primarily targets multi-property managers rather than ordinary households. This gives the </w:t>
      </w:r>
      <w:proofErr w:type="gramStart"/>
      <w:r w:rsidRPr="00DE5169">
        <w:t>Mayor</w:t>
      </w:r>
      <w:proofErr w:type="gramEnd"/>
      <w:r w:rsidRPr="00DE5169">
        <w:t xml:space="preserve"> a strong narrative foundation: the policy is aimed at dismantling a shadow hotel network, not </w:t>
      </w:r>
      <w:proofErr w:type="spellStart"/>
      <w:r w:rsidRPr="00DE5169">
        <w:t>penalising</w:t>
      </w:r>
      <w:proofErr w:type="spellEnd"/>
      <w:r w:rsidRPr="00DE5169">
        <w:t xml:space="preserve"> typical Londoners.</w:t>
      </w:r>
    </w:p>
    <w:p w14:paraId="6A7D7FB9" w14:textId="77777777" w:rsidR="00DE5169" w:rsidRPr="00DE5169" w:rsidRDefault="00DE5169" w:rsidP="00DE5169">
      <w:r w:rsidRPr="00DE5169">
        <w:t xml:space="preserve">Spatial analysis reinforces this point. STR pressure is extremely uneven across London. In the City of London, </w:t>
      </w:r>
      <w:r w:rsidRPr="00DE5169">
        <w:rPr>
          <w:b/>
          <w:bCs/>
        </w:rPr>
        <w:t>59.3%</w:t>
      </w:r>
      <w:r w:rsidRPr="00DE5169">
        <w:t xml:space="preserve"> of all Airbnb listings are professional, with Hillingdon, Redbridge, Havering and Bexley also exceeding </w:t>
      </w:r>
      <w:r w:rsidRPr="00DE5169">
        <w:rPr>
          <w:b/>
          <w:bCs/>
        </w:rPr>
        <w:t>40%</w:t>
      </w:r>
      <w:r w:rsidRPr="00DE5169">
        <w:t xml:space="preserve">. At the same time, professional listings show significantly higher turnover: their mean monthly review rate is </w:t>
      </w:r>
      <w:r w:rsidRPr="00DE5169">
        <w:rPr>
          <w:b/>
          <w:bCs/>
        </w:rPr>
        <w:t>33.7% higher</w:t>
      </w:r>
      <w:r w:rsidRPr="00DE5169">
        <w:t xml:space="preserve"> than that of non-professional hosts. This implies more transient visitors, more noise, and more frequent disruptions. For residents in these “high-pressure zones”, the proposal would deliver the clearest improvements—reduced nuisance, steadier building environments, and stronger community stability. In these places, the benefits are tangible and immediate.</w:t>
      </w:r>
    </w:p>
    <w:p w14:paraId="6B99C448" w14:textId="77777777" w:rsidR="00DE5169" w:rsidRPr="00DE5169" w:rsidRDefault="00DE5169" w:rsidP="00DE5169">
      <w:r w:rsidRPr="00DE5169">
        <w:t xml:space="preserve">Linking Airbnb intensity with ONS rent data also offers important market insights. Simulating a </w:t>
      </w:r>
      <w:r w:rsidRPr="00DE5169">
        <w:rPr>
          <w:b/>
          <w:bCs/>
        </w:rPr>
        <w:t>5–10% return of commercial STRs to the private rented sector</w:t>
      </w:r>
      <w:r w:rsidRPr="00DE5169">
        <w:t xml:space="preserve"> shows that boroughs with small rental stock but extremely dense STR activity—most notably the City of London—would see substantial increases in available long-term housing. While these results do not imply rent reductions, they highlight a clear mechanism through which regulatory action could ease structural tightness for local renters. This supports a constructive narrative for the </w:t>
      </w:r>
      <w:proofErr w:type="gramStart"/>
      <w:r w:rsidRPr="00DE5169">
        <w:t>Mayor</w:t>
      </w:r>
      <w:proofErr w:type="gramEnd"/>
      <w:r w:rsidRPr="00DE5169">
        <w:t>: the goal is not to oppose tourism, but to rebalance supply so that London remains a city for residents, not just visitors.</w:t>
      </w:r>
    </w:p>
    <w:p w14:paraId="050BE377" w14:textId="77777777" w:rsidR="00DE5169" w:rsidRPr="00DE5169" w:rsidRDefault="00DE5169" w:rsidP="00DE5169">
      <w:r w:rsidRPr="00DE5169">
        <w:t xml:space="preserve">However, the proposal also carries serious downsides. Because 60% of affected STRs belong to medium-to-large commercial operators, stronger regulation will ripple through a sizeable service ecosystem—property managers, cleaners, small maintenance companies, and outsourced tourist-oriented services. This raises the risk of </w:t>
      </w:r>
      <w:r w:rsidRPr="00DE5169">
        <w:rPr>
          <w:b/>
          <w:bCs/>
        </w:rPr>
        <w:t>economic displacement</w:t>
      </w:r>
      <w:r w:rsidRPr="00DE5169">
        <w:t xml:space="preserve"> in certain boroughs where STR-linked jobs have become embedded in local micro-economies. Additionally, the proposal would substantially reduce the availability of </w:t>
      </w:r>
      <w:r w:rsidRPr="00DE5169">
        <w:rPr>
          <w:b/>
          <w:bCs/>
        </w:rPr>
        <w:t>entire homes</w:t>
      </w:r>
      <w:r w:rsidRPr="00DE5169">
        <w:t xml:space="preserve">, which represent </w:t>
      </w:r>
      <w:r w:rsidRPr="00DE5169">
        <w:rPr>
          <w:b/>
          <w:bCs/>
        </w:rPr>
        <w:t>69.16%</w:t>
      </w:r>
      <w:r w:rsidRPr="00DE5169">
        <w:t xml:space="preserve"> of all affected listings. These are the primary accommodation </w:t>
      </w:r>
      <w:proofErr w:type="gramStart"/>
      <w:r w:rsidRPr="00DE5169">
        <w:t>type</w:t>
      </w:r>
      <w:proofErr w:type="gramEnd"/>
      <w:r w:rsidRPr="00DE5169">
        <w:t xml:space="preserve"> for </w:t>
      </w:r>
      <w:r w:rsidRPr="00DE5169">
        <w:lastRenderedPageBreak/>
        <w:t xml:space="preserve">families, multi-day visitors, and group </w:t>
      </w:r>
      <w:proofErr w:type="spellStart"/>
      <w:r w:rsidRPr="00DE5169">
        <w:t>travellers</w:t>
      </w:r>
      <w:proofErr w:type="spellEnd"/>
      <w:r w:rsidRPr="00DE5169">
        <w:t xml:space="preserve">. Given that </w:t>
      </w:r>
      <w:r w:rsidRPr="00DE5169">
        <w:rPr>
          <w:b/>
          <w:bCs/>
        </w:rPr>
        <w:t>62.26%</w:t>
      </w:r>
      <w:r w:rsidRPr="00DE5169">
        <w:t xml:space="preserve"> of these units allow 1–</w:t>
      </w:r>
      <w:proofErr w:type="gramStart"/>
      <w:r w:rsidRPr="00DE5169">
        <w:t>2 night</w:t>
      </w:r>
      <w:proofErr w:type="gramEnd"/>
      <w:r w:rsidRPr="00DE5169">
        <w:t xml:space="preserve"> stays, their withdrawal would likely make London’s accommodation offer more rigid and expensive, potentially damaging the city’s reputation as a flexible, visitor-friendly destination.</w:t>
      </w:r>
    </w:p>
    <w:p w14:paraId="3421EF86" w14:textId="77777777" w:rsidR="00DE5169" w:rsidRPr="00DE5169" w:rsidRDefault="00DE5169" w:rsidP="00DE5169">
      <w:r w:rsidRPr="00DE5169">
        <w:t xml:space="preserve">Another important concern is </w:t>
      </w:r>
      <w:r w:rsidRPr="00DE5169">
        <w:rPr>
          <w:b/>
          <w:bCs/>
        </w:rPr>
        <w:t>territorial fairness</w:t>
      </w:r>
      <w:r w:rsidRPr="00DE5169">
        <w:t>. In boroughs such as Bromley or Sutton, the proportion of professional STRs is far lower, and the nuisance levels are modest. An undifferentiated, citywide restriction risks imposing administrative burdens without delivering commensurate community benefits. If implemented as a uniform rule, the proposal may invite criticism for over-regulating areas that do not face meaningful STR pressure. These political and ethical considerations matter because policymaking must balance the interests of both residents and economic stakeholders.</w:t>
      </w:r>
    </w:p>
    <w:p w14:paraId="14EEB05D" w14:textId="77777777" w:rsidR="00DE5169" w:rsidRPr="00DE5169" w:rsidRDefault="00DE5169" w:rsidP="00DE5169">
      <w:r w:rsidRPr="00DE5169">
        <w:t xml:space="preserve">Finally, we acknowledge the analytical uncertainties. The potential revenue estimates represent theoretical maxima; review counts are imperfect proxies for turnover; borough-level spatial analysis cannot identify micro-hotspots; and the 5–10% return scenario is a policy simulation rather than a forecast. There is also the possibility that some commercial hosts duplicate listings across platforms or accounts, meaning that “listing counts” may exceed “actual property counts”. These limitations do not overturn the general conclusions but </w:t>
      </w:r>
      <w:proofErr w:type="spellStart"/>
      <w:r w:rsidRPr="00DE5169">
        <w:t>emphasise</w:t>
      </w:r>
      <w:proofErr w:type="spellEnd"/>
      <w:r w:rsidRPr="00DE5169">
        <w:t xml:space="preserve"> the importance of transparency when presenting these findings to the public.</w:t>
      </w:r>
    </w:p>
    <w:p w14:paraId="23F09A9B" w14:textId="77777777" w:rsidR="00DE5169" w:rsidRPr="00DE5169" w:rsidRDefault="00DE5169" w:rsidP="00DE5169">
      <w:r w:rsidRPr="00DE5169">
        <w:rPr>
          <w:b/>
          <w:bCs/>
        </w:rPr>
        <w:t xml:space="preserve">In sum, the proposal provides substantial benefits in the boroughs most affected by commercial STR activity and offers the </w:t>
      </w:r>
      <w:proofErr w:type="gramStart"/>
      <w:r w:rsidRPr="00DE5169">
        <w:rPr>
          <w:b/>
          <w:bCs/>
        </w:rPr>
        <w:t>Mayor</w:t>
      </w:r>
      <w:proofErr w:type="gramEnd"/>
      <w:r w:rsidRPr="00DE5169">
        <w:rPr>
          <w:b/>
          <w:bCs/>
        </w:rPr>
        <w:t xml:space="preserve"> a strong evidence-based narrative </w:t>
      </w:r>
      <w:proofErr w:type="spellStart"/>
      <w:r w:rsidRPr="00DE5169">
        <w:rPr>
          <w:b/>
          <w:bCs/>
        </w:rPr>
        <w:t>centred</w:t>
      </w:r>
      <w:proofErr w:type="spellEnd"/>
      <w:r w:rsidRPr="00DE5169">
        <w:rPr>
          <w:b/>
          <w:bCs/>
        </w:rPr>
        <w:t xml:space="preserve"> on protecting communities and increasing long-term housing resilience. However, it also entails real trade-offs for tourism, local service economies, and low-pressure boroughs. The most politically defensible approach would be to frame the policy as targeted regulation of commercial operators and to consider borough-tiered implementation to </w:t>
      </w:r>
      <w:proofErr w:type="spellStart"/>
      <w:r w:rsidRPr="00DE5169">
        <w:rPr>
          <w:b/>
          <w:bCs/>
        </w:rPr>
        <w:t>maximise</w:t>
      </w:r>
      <w:proofErr w:type="spellEnd"/>
      <w:r w:rsidRPr="00DE5169">
        <w:rPr>
          <w:b/>
          <w:bCs/>
        </w:rPr>
        <w:t xml:space="preserve"> resident benefits while </w:t>
      </w:r>
      <w:proofErr w:type="spellStart"/>
      <w:r w:rsidRPr="00DE5169">
        <w:rPr>
          <w:b/>
          <w:bCs/>
        </w:rPr>
        <w:t>minimising</w:t>
      </w:r>
      <w:proofErr w:type="spellEnd"/>
      <w:r w:rsidRPr="00DE5169">
        <w:rPr>
          <w:b/>
          <w:bCs/>
        </w:rPr>
        <w:t xml:space="preserve"> unintended economic harms.</w:t>
      </w:r>
    </w:p>
    <w:p w14:paraId="1D1E2485" w14:textId="77777777" w:rsidR="00AA5D07" w:rsidRPr="00DE5169" w:rsidRDefault="00AA5D07"/>
    <w:sectPr w:rsidR="00AA5D07" w:rsidRPr="00DE51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169"/>
    <w:rsid w:val="00163D30"/>
    <w:rsid w:val="006356E5"/>
    <w:rsid w:val="0088170F"/>
    <w:rsid w:val="00AA5D07"/>
    <w:rsid w:val="00B47911"/>
    <w:rsid w:val="00DE5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78DD"/>
  <w15:chartTrackingRefBased/>
  <w15:docId w15:val="{94D5275F-3BF3-41FD-B843-3077E5FCD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E516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E516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E516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E516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E516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E516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E516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516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E516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516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E516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E516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E5169"/>
    <w:rPr>
      <w:rFonts w:cstheme="majorBidi"/>
      <w:color w:val="0F4761" w:themeColor="accent1" w:themeShade="BF"/>
      <w:sz w:val="28"/>
      <w:szCs w:val="28"/>
    </w:rPr>
  </w:style>
  <w:style w:type="character" w:customStyle="1" w:styleId="50">
    <w:name w:val="标题 5 字符"/>
    <w:basedOn w:val="a0"/>
    <w:link w:val="5"/>
    <w:uiPriority w:val="9"/>
    <w:semiHidden/>
    <w:rsid w:val="00DE5169"/>
    <w:rPr>
      <w:rFonts w:cstheme="majorBidi"/>
      <w:color w:val="0F4761" w:themeColor="accent1" w:themeShade="BF"/>
      <w:sz w:val="24"/>
      <w:szCs w:val="24"/>
    </w:rPr>
  </w:style>
  <w:style w:type="character" w:customStyle="1" w:styleId="60">
    <w:name w:val="标题 6 字符"/>
    <w:basedOn w:val="a0"/>
    <w:link w:val="6"/>
    <w:uiPriority w:val="9"/>
    <w:semiHidden/>
    <w:rsid w:val="00DE5169"/>
    <w:rPr>
      <w:rFonts w:cstheme="majorBidi"/>
      <w:b/>
      <w:bCs/>
      <w:color w:val="0F4761" w:themeColor="accent1" w:themeShade="BF"/>
    </w:rPr>
  </w:style>
  <w:style w:type="character" w:customStyle="1" w:styleId="70">
    <w:name w:val="标题 7 字符"/>
    <w:basedOn w:val="a0"/>
    <w:link w:val="7"/>
    <w:uiPriority w:val="9"/>
    <w:semiHidden/>
    <w:rsid w:val="00DE5169"/>
    <w:rPr>
      <w:rFonts w:cstheme="majorBidi"/>
      <w:b/>
      <w:bCs/>
      <w:color w:val="595959" w:themeColor="text1" w:themeTint="A6"/>
    </w:rPr>
  </w:style>
  <w:style w:type="character" w:customStyle="1" w:styleId="80">
    <w:name w:val="标题 8 字符"/>
    <w:basedOn w:val="a0"/>
    <w:link w:val="8"/>
    <w:uiPriority w:val="9"/>
    <w:semiHidden/>
    <w:rsid w:val="00DE5169"/>
    <w:rPr>
      <w:rFonts w:cstheme="majorBidi"/>
      <w:color w:val="595959" w:themeColor="text1" w:themeTint="A6"/>
    </w:rPr>
  </w:style>
  <w:style w:type="character" w:customStyle="1" w:styleId="90">
    <w:name w:val="标题 9 字符"/>
    <w:basedOn w:val="a0"/>
    <w:link w:val="9"/>
    <w:uiPriority w:val="9"/>
    <w:semiHidden/>
    <w:rsid w:val="00DE5169"/>
    <w:rPr>
      <w:rFonts w:eastAsiaTheme="majorEastAsia" w:cstheme="majorBidi"/>
      <w:color w:val="595959" w:themeColor="text1" w:themeTint="A6"/>
    </w:rPr>
  </w:style>
  <w:style w:type="paragraph" w:styleId="a3">
    <w:name w:val="Title"/>
    <w:basedOn w:val="a"/>
    <w:next w:val="a"/>
    <w:link w:val="a4"/>
    <w:uiPriority w:val="10"/>
    <w:qFormat/>
    <w:rsid w:val="00DE516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E51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516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E51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5169"/>
    <w:pPr>
      <w:spacing w:before="160" w:after="160"/>
      <w:jc w:val="center"/>
    </w:pPr>
    <w:rPr>
      <w:i/>
      <w:iCs/>
      <w:color w:val="404040" w:themeColor="text1" w:themeTint="BF"/>
    </w:rPr>
  </w:style>
  <w:style w:type="character" w:customStyle="1" w:styleId="a8">
    <w:name w:val="引用 字符"/>
    <w:basedOn w:val="a0"/>
    <w:link w:val="a7"/>
    <w:uiPriority w:val="29"/>
    <w:rsid w:val="00DE5169"/>
    <w:rPr>
      <w:i/>
      <w:iCs/>
      <w:color w:val="404040" w:themeColor="text1" w:themeTint="BF"/>
    </w:rPr>
  </w:style>
  <w:style w:type="paragraph" w:styleId="a9">
    <w:name w:val="List Paragraph"/>
    <w:basedOn w:val="a"/>
    <w:uiPriority w:val="34"/>
    <w:qFormat/>
    <w:rsid w:val="00DE5169"/>
    <w:pPr>
      <w:ind w:left="720"/>
      <w:contextualSpacing/>
    </w:pPr>
  </w:style>
  <w:style w:type="character" w:styleId="aa">
    <w:name w:val="Intense Emphasis"/>
    <w:basedOn w:val="a0"/>
    <w:uiPriority w:val="21"/>
    <w:qFormat/>
    <w:rsid w:val="00DE5169"/>
    <w:rPr>
      <w:i/>
      <w:iCs/>
      <w:color w:val="0F4761" w:themeColor="accent1" w:themeShade="BF"/>
    </w:rPr>
  </w:style>
  <w:style w:type="paragraph" w:styleId="ab">
    <w:name w:val="Intense Quote"/>
    <w:basedOn w:val="a"/>
    <w:next w:val="a"/>
    <w:link w:val="ac"/>
    <w:uiPriority w:val="30"/>
    <w:qFormat/>
    <w:rsid w:val="00DE5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E5169"/>
    <w:rPr>
      <w:i/>
      <w:iCs/>
      <w:color w:val="0F4761" w:themeColor="accent1" w:themeShade="BF"/>
    </w:rPr>
  </w:style>
  <w:style w:type="character" w:styleId="ad">
    <w:name w:val="Intense Reference"/>
    <w:basedOn w:val="a0"/>
    <w:uiPriority w:val="32"/>
    <w:qFormat/>
    <w:rsid w:val="00DE51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1009</Words>
  <Characters>6271</Characters>
  <Application>Microsoft Office Word</Application>
  <DocSecurity>0</DocSecurity>
  <Lines>88</Lines>
  <Paragraphs>12</Paragraphs>
  <ScaleCrop>false</ScaleCrop>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Zhengpei</dc:creator>
  <cp:keywords/>
  <dc:description/>
  <cp:lastModifiedBy>zpp x</cp:lastModifiedBy>
  <cp:revision>1</cp:revision>
  <dcterms:created xsi:type="dcterms:W3CDTF">2025-12-08T09:02:00Z</dcterms:created>
  <dcterms:modified xsi:type="dcterms:W3CDTF">2025-12-08T09:23:00Z</dcterms:modified>
</cp:coreProperties>
</file>