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71DE95" w14:textId="78036426" w:rsidR="00945AB5" w:rsidRDefault="00FA2F11">
      <w:pPr>
        <w:pStyle w:val="a"/>
        <w:jc w:val="both"/>
      </w:pPr>
      <w:r>
        <w:rPr>
          <w:rFonts w:hint="eastAsia"/>
        </w:rPr>
        <w:t>上海与伦敦内城区</w:t>
      </w:r>
      <w:r w:rsidR="00945A67">
        <w:rPr>
          <w:rFonts w:hint="eastAsia"/>
        </w:rPr>
        <w:t>骑行品质</w:t>
      </w:r>
      <w:r>
        <w:rPr>
          <w:rFonts w:hint="eastAsia"/>
        </w:rPr>
        <w:t>的多维度评估比较及政策启示</w:t>
      </w:r>
    </w:p>
    <w:p w14:paraId="183AF7B0" w14:textId="4BB14149" w:rsidR="00FA2F11" w:rsidRPr="00FA2F11" w:rsidRDefault="00FA2F11" w:rsidP="00FA2F11">
      <w:pPr>
        <w:pStyle w:val="NormalWeb"/>
        <w:spacing w:after="163"/>
        <w:ind w:firstLineChars="0" w:firstLine="0"/>
        <w:rPr>
          <w:rFonts w:eastAsia="Times New Roman"/>
          <w:kern w:val="0"/>
          <w:lang w:val="en-GB"/>
        </w:rPr>
      </w:pPr>
      <w:r w:rsidRPr="00FA2F11">
        <w:t xml:space="preserve">Multi-dimensional Assessment and Comparison of Bikeability Between Inner </w:t>
      </w:r>
      <w:r w:rsidR="0028343F">
        <w:t xml:space="preserve">Cities of </w:t>
      </w:r>
      <w:r w:rsidRPr="00FA2F11">
        <w:rPr>
          <w:rFonts w:hint="eastAsia"/>
        </w:rPr>
        <w:t>S</w:t>
      </w:r>
      <w:r w:rsidRPr="00FA2F11">
        <w:t>hanghai and London and Its Policy Implications</w:t>
      </w:r>
    </w:p>
    <w:p w14:paraId="2774CA01" w14:textId="293CCBDE" w:rsidR="00945AB5" w:rsidRPr="00FA2F11" w:rsidRDefault="00945AB5">
      <w:pPr>
        <w:spacing w:after="163"/>
        <w:ind w:firstLineChars="0" w:firstLine="0"/>
        <w:rPr>
          <w:lang w:val="en-GB"/>
        </w:rPr>
      </w:pPr>
    </w:p>
    <w:p w14:paraId="467653F7" w14:textId="77777777" w:rsidR="00945AB5" w:rsidRPr="00FA2F11" w:rsidRDefault="00945AB5">
      <w:pPr>
        <w:spacing w:after="163"/>
        <w:ind w:firstLineChars="0" w:firstLine="0"/>
        <w:jc w:val="left"/>
        <w:rPr>
          <w:lang w:val="en-GB"/>
        </w:rPr>
      </w:pPr>
    </w:p>
    <w:p w14:paraId="44800F22" w14:textId="77777777" w:rsidR="00945AB5" w:rsidRDefault="00945AB5">
      <w:pPr>
        <w:spacing w:after="163"/>
        <w:ind w:firstLineChars="0" w:firstLine="0"/>
        <w:jc w:val="left"/>
      </w:pPr>
    </w:p>
    <w:p w14:paraId="7FD17479" w14:textId="77777777" w:rsidR="00945AB5" w:rsidRPr="00597030" w:rsidRDefault="002C25DB">
      <w:pPr>
        <w:spacing w:after="163"/>
        <w:ind w:firstLineChars="0" w:firstLine="0"/>
        <w:rPr>
          <w:color w:val="F2F2F2" w:themeColor="background1" w:themeShade="F2"/>
        </w:rPr>
      </w:pPr>
      <w:r w:rsidRPr="0034000C">
        <w:rPr>
          <w:rFonts w:hint="eastAsia"/>
          <w:b/>
          <w:bCs/>
          <w:color w:val="000000" w:themeColor="text1"/>
        </w:rPr>
        <w:t>摘要</w:t>
      </w:r>
      <w:r w:rsidRPr="0034000C">
        <w:rPr>
          <w:rFonts w:hint="eastAsia"/>
          <w:b/>
          <w:bCs/>
          <w:color w:val="000000" w:themeColor="text1"/>
        </w:rPr>
        <w:t>:</w:t>
      </w:r>
      <w:r w:rsidRPr="00597030">
        <w:rPr>
          <w:rFonts w:hint="eastAsia"/>
          <w:color w:val="F2F2F2" w:themeColor="background1" w:themeShade="F2"/>
        </w:rPr>
        <w:t>在高度轨道化的大都市中，骑行与轨道交通的空间关系已超越单一的“到站接驳”功能。本文以上海与大阪为例，从节点吸附、网络延伸与城市结构差异三个层面构建“轨道—骑行空间组织”的比较分析框架：首先识别骑行活动与自行车设施围绕轨道节点的集聚程度，刻画节点关系；进而考察高强度骑行网络突破传统</w:t>
      </w:r>
      <w:r w:rsidRPr="00597030">
        <w:rPr>
          <w:rFonts w:hint="eastAsia"/>
          <w:color w:val="F2F2F2" w:themeColor="background1" w:themeShade="F2"/>
        </w:rPr>
        <w:t>TOD</w:t>
      </w:r>
      <w:r w:rsidRPr="00597030">
        <w:rPr>
          <w:rFonts w:hint="eastAsia"/>
          <w:color w:val="F2F2F2" w:themeColor="background1" w:themeShade="F2"/>
        </w:rPr>
        <w:t>步行圈、形成连续走廊乃至“轨道补网”的现象，识别网络关系；最后比较中心—外围区位、轨道密度与街道环境对不同空间关系的影响，揭示城市结构差异。研究表明，不应预设统一的“自行车—轨道互补”模式，两市比较应聚焦空间组织模式而非绝对骑行量。研究结论可为面向中国</w:t>
      </w:r>
      <w:r w:rsidRPr="00597030">
        <w:rPr>
          <w:rFonts w:hint="eastAsia"/>
          <w:color w:val="F2F2F2" w:themeColor="background1" w:themeShade="F2"/>
        </w:rPr>
        <w:t>TOD</w:t>
      </w:r>
      <w:r w:rsidRPr="00597030">
        <w:rPr>
          <w:rFonts w:hint="eastAsia"/>
          <w:color w:val="F2F2F2" w:themeColor="background1" w:themeShade="F2"/>
        </w:rPr>
        <w:t>的骑行空间规划提供参考。</w:t>
      </w:r>
    </w:p>
    <w:p w14:paraId="216E4018" w14:textId="77777777" w:rsidR="00945AB5" w:rsidRPr="00DB1F44" w:rsidRDefault="002C25DB">
      <w:pPr>
        <w:spacing w:after="163"/>
        <w:ind w:firstLineChars="0" w:firstLine="0"/>
        <w:rPr>
          <w:color w:val="D9D9D9" w:themeColor="background1" w:themeShade="D9"/>
        </w:rPr>
      </w:pPr>
      <w:r w:rsidRPr="0034000C">
        <w:rPr>
          <w:rFonts w:hint="eastAsia"/>
          <w:b/>
          <w:bCs/>
          <w:color w:val="000000" w:themeColor="text1"/>
        </w:rPr>
        <w:t>Abstract</w:t>
      </w:r>
      <w:r w:rsidRPr="0034000C">
        <w:rPr>
          <w:rFonts w:hint="eastAsia"/>
          <w:b/>
          <w:bCs/>
          <w:color w:val="000000" w:themeColor="text1"/>
        </w:rPr>
        <w:t>：</w:t>
      </w:r>
      <w:r w:rsidRPr="00597030">
        <w:rPr>
          <w:color w:val="F2F2F2" w:themeColor="background1" w:themeShade="F2"/>
        </w:rPr>
        <w:t>In highly rail-oriented metropolises, the spatial relationship between cycling and rail transit has transcended the single function of "station access." Taking Shanghai and Osaka as cases, this paper constructs a comparative analytical framework for "rail–cycling spatial organization" from three dimensions: node agglomeration, network extension, and urban structural differences. First, it identifies the degree to which cycling activities and bicycle facilities cluster around rail nodes, thereby characterizing the node relationship. It then examines how high-intensity cycling networks break through the conventional TOD pedestrian catchment, forming continuous corridors and even a phenomenon of "transit-network supplementation" by cycling, thereby identifying the network relationship. Finally, it compares how center–periphery location, rail network density, and street environments shape these different spatial relationships, revealing urban structural differences. The findings indicate that a uniform "bicycle–rail complementarity" model should not be presupposed, and that comparisons between the two cities should focus on spatial organization patterns rather than absolute cycling volumes. The conclusions can provide a reference for cycling space planning oriented toward TOD in China.</w:t>
      </w:r>
    </w:p>
    <w:p w14:paraId="1D9D8F32" w14:textId="77777777" w:rsidR="00945AB5" w:rsidRPr="00DB1F44" w:rsidRDefault="00945AB5">
      <w:pPr>
        <w:spacing w:after="163"/>
        <w:ind w:firstLineChars="0" w:firstLine="0"/>
        <w:rPr>
          <w:color w:val="D9D9D9" w:themeColor="background1" w:themeShade="D9"/>
        </w:rPr>
      </w:pPr>
    </w:p>
    <w:p w14:paraId="408B26AA" w14:textId="0D851AB4" w:rsidR="00945AB5" w:rsidRPr="0034000C" w:rsidRDefault="002C25DB">
      <w:pPr>
        <w:spacing w:after="163"/>
        <w:ind w:firstLineChars="0" w:firstLine="0"/>
        <w:rPr>
          <w:color w:val="000000" w:themeColor="text1"/>
          <w:lang w:val="en-GB"/>
        </w:rPr>
      </w:pPr>
      <w:r w:rsidRPr="0034000C">
        <w:rPr>
          <w:rFonts w:hint="eastAsia"/>
          <w:b/>
          <w:bCs/>
          <w:color w:val="000000" w:themeColor="text1"/>
        </w:rPr>
        <w:t>关键词：</w:t>
      </w:r>
      <w:r w:rsidR="00945A67">
        <w:rPr>
          <w:rFonts w:hint="eastAsia"/>
          <w:color w:val="000000" w:themeColor="text1"/>
        </w:rPr>
        <w:t>骑行品质</w:t>
      </w:r>
      <w:r w:rsidRPr="0034000C">
        <w:rPr>
          <w:rFonts w:hint="eastAsia"/>
          <w:color w:val="000000" w:themeColor="text1"/>
        </w:rPr>
        <w:t>；</w:t>
      </w:r>
      <w:r w:rsidR="00654893">
        <w:rPr>
          <w:rFonts w:hint="eastAsia"/>
          <w:color w:val="000000" w:themeColor="text1"/>
        </w:rPr>
        <w:t>骑行</w:t>
      </w:r>
      <w:r w:rsidRPr="0034000C">
        <w:rPr>
          <w:rFonts w:hint="eastAsia"/>
          <w:color w:val="000000" w:themeColor="text1"/>
        </w:rPr>
        <w:t>；上海；</w:t>
      </w:r>
      <w:r w:rsidR="0034000C" w:rsidRPr="0034000C">
        <w:rPr>
          <w:rFonts w:hint="eastAsia"/>
          <w:color w:val="000000" w:themeColor="text1"/>
          <w:lang w:val="en-GB"/>
        </w:rPr>
        <w:t>伦敦</w:t>
      </w:r>
    </w:p>
    <w:p w14:paraId="355715C2" w14:textId="27CB2621" w:rsidR="00945AB5" w:rsidRPr="007C6B23" w:rsidRDefault="002C25DB">
      <w:pPr>
        <w:spacing w:after="163"/>
        <w:ind w:firstLineChars="0" w:firstLine="0"/>
        <w:rPr>
          <w:color w:val="000000" w:themeColor="text1"/>
        </w:rPr>
      </w:pPr>
      <w:r w:rsidRPr="007C6B23">
        <w:rPr>
          <w:rFonts w:hint="eastAsia"/>
          <w:b/>
          <w:bCs/>
          <w:color w:val="000000" w:themeColor="text1"/>
        </w:rPr>
        <w:t>Keywords</w:t>
      </w:r>
      <w:r w:rsidRPr="007C6B23">
        <w:rPr>
          <w:rFonts w:hint="eastAsia"/>
          <w:b/>
          <w:bCs/>
          <w:color w:val="000000" w:themeColor="text1"/>
        </w:rPr>
        <w:t>：</w:t>
      </w:r>
      <w:r w:rsidR="007C6B23" w:rsidRPr="007C6B23">
        <w:rPr>
          <w:color w:val="000000" w:themeColor="text1"/>
        </w:rPr>
        <w:t>Bikeability</w:t>
      </w:r>
      <w:r w:rsidRPr="007C6B23">
        <w:rPr>
          <w:rFonts w:hint="eastAsia"/>
          <w:color w:val="000000" w:themeColor="text1"/>
        </w:rPr>
        <w:t xml:space="preserve">; </w:t>
      </w:r>
      <w:r w:rsidR="007C6B23" w:rsidRPr="007C6B23">
        <w:rPr>
          <w:color w:val="000000" w:themeColor="text1"/>
        </w:rPr>
        <w:t>Cyclability</w:t>
      </w:r>
      <w:r w:rsidRPr="007C6B23">
        <w:rPr>
          <w:rFonts w:hint="eastAsia"/>
          <w:color w:val="000000" w:themeColor="text1"/>
        </w:rPr>
        <w:t xml:space="preserve">; </w:t>
      </w:r>
      <w:r w:rsidR="007C6B23" w:rsidRPr="007C6B23">
        <w:rPr>
          <w:color w:val="000000" w:themeColor="text1"/>
        </w:rPr>
        <w:t>Cycling</w:t>
      </w:r>
      <w:r w:rsidRPr="007C6B23">
        <w:rPr>
          <w:rFonts w:hint="eastAsia"/>
          <w:color w:val="000000" w:themeColor="text1"/>
        </w:rPr>
        <w:t xml:space="preserve">; Shanghai; </w:t>
      </w:r>
      <w:r w:rsidR="007C6B23" w:rsidRPr="007C6B23">
        <w:rPr>
          <w:color w:val="000000" w:themeColor="text1"/>
        </w:rPr>
        <w:t>London</w:t>
      </w:r>
    </w:p>
    <w:p w14:paraId="68EA90AF" w14:textId="77777777" w:rsidR="00945AB5" w:rsidRDefault="00945AB5">
      <w:pPr>
        <w:spacing w:after="163"/>
        <w:ind w:firstLineChars="0" w:firstLine="0"/>
      </w:pPr>
    </w:p>
    <w:p w14:paraId="09BD8848" w14:textId="77777777" w:rsidR="00945AB5" w:rsidRDefault="002C25DB">
      <w:pPr>
        <w:pStyle w:val="Heading1"/>
        <w:numPr>
          <w:ilvl w:val="0"/>
          <w:numId w:val="0"/>
        </w:numPr>
        <w:spacing w:after="65"/>
        <w:jc w:val="left"/>
      </w:pPr>
      <w:r>
        <w:rPr>
          <w:rFonts w:hint="eastAsia"/>
        </w:rPr>
        <w:lastRenderedPageBreak/>
        <w:t>引言</w:t>
      </w:r>
    </w:p>
    <w:p w14:paraId="4721EB8D" w14:textId="77777777" w:rsidR="00945AB5" w:rsidRPr="00597030" w:rsidRDefault="002C25DB">
      <w:pPr>
        <w:spacing w:after="163"/>
        <w:ind w:firstLine="420"/>
        <w:rPr>
          <w:color w:val="F2F2F2" w:themeColor="background1" w:themeShade="F2"/>
        </w:rPr>
      </w:pPr>
      <w:r w:rsidRPr="00597030">
        <w:rPr>
          <w:rFonts w:hint="eastAsia"/>
          <w:color w:val="F2F2F2" w:themeColor="background1" w:themeShade="F2"/>
        </w:rPr>
        <w:t>在全球城市化进程中，城市轨道交通规模的持续拓展正在深刻重塑大都市的空间结构与日常通勤模式。自</w:t>
      </w:r>
      <w:r w:rsidRPr="00597030">
        <w:rPr>
          <w:rFonts w:hint="eastAsia"/>
          <w:color w:val="F2F2F2" w:themeColor="background1" w:themeShade="F2"/>
        </w:rPr>
        <w:t>20</w:t>
      </w:r>
      <w:r w:rsidRPr="00597030">
        <w:rPr>
          <w:rFonts w:hint="eastAsia"/>
          <w:color w:val="F2F2F2" w:themeColor="background1" w:themeShade="F2"/>
        </w:rPr>
        <w:t>世纪末以来，公共交通导向型开发（</w:t>
      </w:r>
      <w:r w:rsidRPr="00597030">
        <w:rPr>
          <w:rFonts w:hint="eastAsia"/>
          <w:color w:val="F2F2F2" w:themeColor="background1" w:themeShade="F2"/>
        </w:rPr>
        <w:t>TOD</w:t>
      </w:r>
      <w:r w:rsidRPr="00597030">
        <w:rPr>
          <w:rFonts w:hint="eastAsia"/>
          <w:color w:val="F2F2F2" w:themeColor="background1" w:themeShade="F2"/>
        </w:rPr>
        <w:t>）理论从新城市主义的核心工具之一，逐步演变为涵盖交通规划、空间营造、社会公平与经济发展等多重目标的综合性城市发展范式</w:t>
      </w:r>
      <w:r w:rsidRPr="00597030">
        <w:rPr>
          <w:rFonts w:hint="eastAsia"/>
          <w:color w:val="F2F2F2" w:themeColor="background1" w:themeShade="F2"/>
        </w:rPr>
        <w:t>[1]</w:t>
      </w:r>
      <w:r w:rsidRPr="00597030">
        <w:rPr>
          <w:rFonts w:hint="eastAsia"/>
          <w:color w:val="F2F2F2" w:themeColor="background1" w:themeShade="F2"/>
        </w:rPr>
        <w:t>。在此发展背景下，自行车凭借低碳环保、机动灵活，且适配中短距离出行的固有优势，长期被纳入</w:t>
      </w:r>
      <w:r w:rsidRPr="00597030">
        <w:rPr>
          <w:rFonts w:hint="eastAsia"/>
          <w:color w:val="F2F2F2" w:themeColor="background1" w:themeShade="F2"/>
        </w:rPr>
        <w:t>TOD</w:t>
      </w:r>
      <w:r w:rsidRPr="00597030">
        <w:rPr>
          <w:rFonts w:hint="eastAsia"/>
          <w:color w:val="F2F2F2" w:themeColor="background1" w:themeShade="F2"/>
        </w:rPr>
        <w:t>体系的“最后一公里”接驳框架中，但其空间价值往往局限于轨道站点的附属功能。然而，随着轨道网络在城市尺度上的深度渗透，骑行活动所展现的多层次空间分布特征，已远非“到站接驳”所能涵盖。</w:t>
      </w:r>
    </w:p>
    <w:p w14:paraId="7B565F4E" w14:textId="77777777" w:rsidR="00945AB5" w:rsidRPr="00597030" w:rsidRDefault="002C25DB">
      <w:pPr>
        <w:spacing w:after="163"/>
        <w:ind w:firstLine="420"/>
        <w:rPr>
          <w:color w:val="F2F2F2" w:themeColor="background1" w:themeShade="F2"/>
        </w:rPr>
      </w:pPr>
      <w:r w:rsidRPr="00597030">
        <w:rPr>
          <w:rFonts w:hint="eastAsia"/>
          <w:color w:val="F2F2F2" w:themeColor="background1" w:themeShade="F2"/>
        </w:rPr>
        <w:t>在高度轨道化的大都市中，骑行并不只是“到站接驳”。它可能同时表现为围绕轨道节点的集聚、沿街道网络的延伸，以及在不同城市结构中的功能分化。本文的分析框架围绕三个层面展开：其一，节点关系，即骑行和自行车设施在多大程度上围绕轨道站集聚；其二，网络关系，即骑行是否突破传统</w:t>
      </w:r>
      <w:r w:rsidRPr="00597030">
        <w:rPr>
          <w:rFonts w:hint="eastAsia"/>
          <w:color w:val="F2F2F2" w:themeColor="background1" w:themeShade="F2"/>
        </w:rPr>
        <w:t>TOD</w:t>
      </w:r>
      <w:r w:rsidRPr="00597030">
        <w:rPr>
          <w:rFonts w:hint="eastAsia"/>
          <w:color w:val="F2F2F2" w:themeColor="background1" w:themeShade="F2"/>
        </w:rPr>
        <w:t>步行圈并形成连续或相对独立的骑行网络；其三，城市结构差异，即在中心与外围、轨道密集与稀缺地区中，上述关系如何变化。这意味着，理解骑行在轨道导向城市中的作用，需要将视角从“接驳方式的效率”转换为“空间组织的逻辑”，即把骑行视为与轨道网络并存、互动、并且可能在局部形成补缺关系的一套空间网络，而非轨道站点的附属设施。</w:t>
      </w:r>
    </w:p>
    <w:p w14:paraId="3B93206F" w14:textId="77777777" w:rsidR="00945AB5" w:rsidRPr="00597030" w:rsidRDefault="002C25DB">
      <w:pPr>
        <w:spacing w:after="163"/>
        <w:ind w:firstLine="420"/>
        <w:rPr>
          <w:color w:val="F2F2F2" w:themeColor="background1" w:themeShade="F2"/>
        </w:rPr>
      </w:pPr>
      <w:r w:rsidRPr="00597030">
        <w:rPr>
          <w:rFonts w:hint="eastAsia"/>
          <w:color w:val="F2F2F2" w:themeColor="background1" w:themeShade="F2"/>
        </w:rPr>
        <w:t>尽管既有研究已从接驳效率、设施配置等角度对自行车与轨道交通的关系做了大量讨论，但在两个方向上仍有推进空间。其一，多数研究聚焦于单一尺度——站点尺度的接驳距离与设施布局，网络尺度的廊道连续性，或城市尺度的整体供需关系，尺度之间缺乏连贯的分析链条，难以刻画骑行由“节点吸附”经“网络延伸”到“面域补缺”的完整过程。其二，跨城市比较多以骑行量、接驳率或使用者特征为对象，较少直接比较“轨道—骑行空间组织”本身；而对于轨道条件相近、自行车体系迥异的城市，这一比较恰能剥离轨道结构的干扰，识别设施与制度背景对空间组织的作用。上述两点，构成本文的研究切入点。</w:t>
      </w:r>
    </w:p>
    <w:p w14:paraId="165007C9" w14:textId="77777777" w:rsidR="00945AB5" w:rsidRPr="00597030" w:rsidRDefault="002C25DB">
      <w:pPr>
        <w:spacing w:after="163"/>
        <w:ind w:firstLine="420"/>
        <w:rPr>
          <w:color w:val="F2F2F2" w:themeColor="background1" w:themeShade="F2"/>
        </w:rPr>
      </w:pPr>
      <w:r w:rsidRPr="00597030">
        <w:rPr>
          <w:rFonts w:hint="eastAsia"/>
          <w:color w:val="F2F2F2" w:themeColor="background1" w:themeShade="F2"/>
        </w:rPr>
        <w:t>本文的贡献主要体现在三个方面。在理论上，提出并检验“节点—网络—城市结构”的多尺度骑行空间组织框架，把自行车—轨道关系的研究对象由“接驳效率”推进到“空间组织模式”，从而回答“骑行以何种空间方式嵌入轨道导向城市”，而不止于回答“骑行量有多少”。在方法上，通过“同构的轨道导向结构、异质的自行车体系”这一对照设计，为跨城市比较提供了一条剥离轨道条件、凸显设施与制度背景作用的分析路径，并以可比的指标定义回应两市数据来源不一致的难题。在实践上，研究结论可为面向中国</w:t>
      </w:r>
      <w:r w:rsidRPr="00597030">
        <w:rPr>
          <w:rFonts w:hint="eastAsia"/>
          <w:color w:val="F2F2F2" w:themeColor="background1" w:themeShade="F2"/>
        </w:rPr>
        <w:t>TOD</w:t>
      </w:r>
      <w:r w:rsidRPr="00597030">
        <w:rPr>
          <w:rFonts w:hint="eastAsia"/>
          <w:color w:val="F2F2F2" w:themeColor="background1" w:themeShade="F2"/>
        </w:rPr>
        <w:t>的骑行空间规划提供依据，即由“固定步行圈内的站口接驳”转向“依据实际骑行网络识别的功能性骑行腹地”，并在中心区与外围区采取差异化的骑行—轨道整合策略。</w:t>
      </w:r>
    </w:p>
    <w:p w14:paraId="17476C1C" w14:textId="78C00C51" w:rsidR="00945AB5" w:rsidRDefault="002C25DB">
      <w:pPr>
        <w:pStyle w:val="Heading1"/>
        <w:numPr>
          <w:ilvl w:val="0"/>
          <w:numId w:val="0"/>
        </w:numPr>
        <w:spacing w:after="65"/>
      </w:pPr>
      <w:r>
        <w:rPr>
          <w:rFonts w:hint="eastAsia"/>
        </w:rPr>
        <w:lastRenderedPageBreak/>
        <w:t xml:space="preserve">1  </w:t>
      </w:r>
      <w:r w:rsidR="00E25BEA">
        <w:rPr>
          <w:rFonts w:hint="eastAsia"/>
        </w:rPr>
        <w:t>骑行设施的城市意义与国际实践</w:t>
      </w:r>
    </w:p>
    <w:p w14:paraId="126B5EA0" w14:textId="6BE5AA12" w:rsidR="00945AB5" w:rsidRDefault="00E25BEA" w:rsidP="00A62AB0">
      <w:pPr>
        <w:pStyle w:val="Heading2"/>
        <w:numPr>
          <w:ilvl w:val="1"/>
          <w:numId w:val="8"/>
        </w:numPr>
        <w:spacing w:after="65"/>
      </w:pPr>
      <w:r>
        <w:rPr>
          <w:rFonts w:hint="eastAsia"/>
        </w:rPr>
        <w:t>骑行在城市政策中的再定位</w:t>
      </w:r>
    </w:p>
    <w:p w14:paraId="0D8D1A66" w14:textId="6443CD18" w:rsidR="00A62AB0" w:rsidRDefault="00A62AB0" w:rsidP="00A62AB0">
      <w:pPr>
        <w:pStyle w:val="NormalWeb"/>
        <w:spacing w:after="163"/>
        <w:ind w:firstLine="420"/>
        <w:rPr>
          <w:rFonts w:cstheme="minorBidi"/>
          <w:sz w:val="21"/>
          <w:szCs w:val="22"/>
        </w:rPr>
      </w:pPr>
      <w:r w:rsidRPr="00A62AB0">
        <w:rPr>
          <w:rFonts w:cstheme="minorBidi" w:hint="eastAsia"/>
          <w:sz w:val="21"/>
          <w:szCs w:val="22"/>
        </w:rPr>
        <w:t>骑行在城市交通体系中的政策定位经历了由</w:t>
      </w:r>
      <w:r w:rsidRPr="00A62AB0">
        <w:rPr>
          <w:rFonts w:cstheme="minorBidi"/>
          <w:sz w:val="21"/>
          <w:szCs w:val="22"/>
        </w:rPr>
        <w:t>“</w:t>
      </w:r>
      <w:r w:rsidRPr="00A62AB0">
        <w:rPr>
          <w:rFonts w:cstheme="minorBidi" w:hint="eastAsia"/>
          <w:sz w:val="21"/>
          <w:szCs w:val="22"/>
        </w:rPr>
        <w:t>辅助性非机动交通</w:t>
      </w:r>
      <w:r w:rsidRPr="00A62AB0">
        <w:rPr>
          <w:rFonts w:cstheme="minorBidi"/>
          <w:sz w:val="21"/>
          <w:szCs w:val="22"/>
        </w:rPr>
        <w:t>”</w:t>
      </w:r>
      <w:r w:rsidRPr="00A62AB0">
        <w:rPr>
          <w:rFonts w:cstheme="minorBidi" w:hint="eastAsia"/>
          <w:sz w:val="21"/>
          <w:szCs w:val="22"/>
        </w:rPr>
        <w:t>向</w:t>
      </w:r>
      <w:r w:rsidRPr="00A62AB0">
        <w:rPr>
          <w:rFonts w:cstheme="minorBidi"/>
          <w:sz w:val="21"/>
          <w:szCs w:val="22"/>
        </w:rPr>
        <w:t>“</w:t>
      </w:r>
      <w:r w:rsidRPr="00A62AB0">
        <w:rPr>
          <w:rFonts w:cstheme="minorBidi" w:hint="eastAsia"/>
          <w:sz w:val="21"/>
          <w:szCs w:val="22"/>
        </w:rPr>
        <w:t>主动出行（</w:t>
      </w:r>
      <w:r w:rsidRPr="00A62AB0">
        <w:rPr>
          <w:rFonts w:cstheme="minorBidi"/>
          <w:sz w:val="21"/>
          <w:szCs w:val="22"/>
        </w:rPr>
        <w:t>Active Travel</w:t>
      </w:r>
      <w:r w:rsidRPr="00A62AB0">
        <w:rPr>
          <w:rFonts w:cstheme="minorBidi" w:hint="eastAsia"/>
          <w:sz w:val="21"/>
          <w:szCs w:val="22"/>
        </w:rPr>
        <w:t>）主体模式</w:t>
      </w:r>
      <w:r w:rsidRPr="00A62AB0">
        <w:rPr>
          <w:rFonts w:cstheme="minorBidi"/>
          <w:sz w:val="21"/>
          <w:szCs w:val="22"/>
        </w:rPr>
        <w:t>”</w:t>
      </w:r>
      <w:r w:rsidRPr="00A62AB0">
        <w:rPr>
          <w:rFonts w:cstheme="minorBidi" w:hint="eastAsia"/>
          <w:sz w:val="21"/>
          <w:szCs w:val="22"/>
        </w:rPr>
        <w:t>与</w:t>
      </w:r>
      <w:r w:rsidRPr="00A62AB0">
        <w:rPr>
          <w:rFonts w:cstheme="minorBidi"/>
          <w:sz w:val="21"/>
          <w:szCs w:val="22"/>
        </w:rPr>
        <w:t>“</w:t>
      </w:r>
      <w:r w:rsidRPr="00A62AB0">
        <w:rPr>
          <w:rFonts w:cstheme="minorBidi" w:hint="eastAsia"/>
          <w:sz w:val="21"/>
          <w:szCs w:val="22"/>
        </w:rPr>
        <w:t>绿色交通转型</w:t>
      </w:r>
      <w:r w:rsidR="00881F67">
        <w:rPr>
          <w:rFonts w:cstheme="minorBidi" w:hint="eastAsia"/>
          <w:sz w:val="21"/>
          <w:szCs w:val="22"/>
        </w:rPr>
        <w:t>核心媒介</w:t>
      </w:r>
      <w:r w:rsidRPr="00A62AB0">
        <w:rPr>
          <w:rFonts w:cstheme="minorBidi"/>
          <w:sz w:val="21"/>
          <w:szCs w:val="22"/>
        </w:rPr>
        <w:t>”</w:t>
      </w:r>
      <w:r w:rsidRPr="00A62AB0">
        <w:rPr>
          <w:rFonts w:cstheme="minorBidi" w:hint="eastAsia"/>
          <w:sz w:val="21"/>
          <w:szCs w:val="22"/>
        </w:rPr>
        <w:t>的深刻转变。在</w:t>
      </w:r>
      <w:r w:rsidRPr="00A62AB0">
        <w:rPr>
          <w:rFonts w:cstheme="minorBidi"/>
          <w:sz w:val="21"/>
          <w:szCs w:val="22"/>
        </w:rPr>
        <w:t>20</w:t>
      </w:r>
      <w:r w:rsidRPr="00A62AB0">
        <w:rPr>
          <w:rFonts w:cstheme="minorBidi" w:hint="eastAsia"/>
          <w:sz w:val="21"/>
          <w:szCs w:val="22"/>
        </w:rPr>
        <w:t>世纪中后期的快速机动化浪潮中，城市交通规划长期以机动车通行效率为导向，自行车往往被视为边缘化、过时或仅服务于短途休闲与低收入群体的补充性工具，在路权分配与财政预算中处于弱势地位</w:t>
      </w:r>
      <w:r w:rsidRPr="00A62AB0">
        <w:rPr>
          <w:rFonts w:cstheme="minorBidi"/>
          <w:sz w:val="21"/>
          <w:szCs w:val="22"/>
        </w:rPr>
        <w:t>。</w:t>
      </w:r>
    </w:p>
    <w:p w14:paraId="1E15022C" w14:textId="6EA33278" w:rsidR="00881F67" w:rsidRDefault="00881F67" w:rsidP="00A62AB0">
      <w:pPr>
        <w:pStyle w:val="NormalWeb"/>
        <w:spacing w:after="163"/>
        <w:ind w:firstLine="420"/>
        <w:rPr>
          <w:rFonts w:cstheme="minorBidi"/>
          <w:sz w:val="21"/>
          <w:szCs w:val="22"/>
        </w:rPr>
      </w:pPr>
      <w:r>
        <w:rPr>
          <w:rFonts w:cstheme="minorBidi" w:hint="eastAsia"/>
          <w:sz w:val="21"/>
          <w:szCs w:val="22"/>
        </w:rPr>
        <w:t>然而，面对气候变化、交通拥堵、空气污染以及慢性疾病泛滥等多重城市危机，</w:t>
      </w:r>
      <w:r>
        <w:rPr>
          <w:rFonts w:cstheme="minorBidi" w:hint="eastAsia"/>
          <w:sz w:val="21"/>
          <w:szCs w:val="22"/>
        </w:rPr>
        <w:t>21</w:t>
      </w:r>
      <w:r>
        <w:rPr>
          <w:rFonts w:cstheme="minorBidi" w:hint="eastAsia"/>
          <w:sz w:val="21"/>
          <w:szCs w:val="22"/>
        </w:rPr>
        <w:t>世纪以来全球超级大都市相继重新审视骑行的多维战略价值。骑行</w:t>
      </w:r>
      <w:r w:rsidR="00123308">
        <w:rPr>
          <w:rFonts w:cstheme="minorBidi" w:hint="eastAsia"/>
          <w:sz w:val="21"/>
          <w:szCs w:val="22"/>
        </w:rPr>
        <w:t>由此</w:t>
      </w:r>
      <w:r>
        <w:rPr>
          <w:rFonts w:cstheme="minorBidi" w:hint="eastAsia"/>
          <w:sz w:val="21"/>
          <w:szCs w:val="22"/>
        </w:rPr>
        <w:t>被赋予了</w:t>
      </w:r>
      <w:r w:rsidR="00123308">
        <w:rPr>
          <w:rFonts w:cstheme="minorBidi" w:hint="eastAsia"/>
          <w:sz w:val="21"/>
          <w:szCs w:val="22"/>
        </w:rPr>
        <w:t>推动</w:t>
      </w:r>
      <w:r w:rsidRPr="00881F67">
        <w:rPr>
          <w:rFonts w:cstheme="minorBidi"/>
          <w:sz w:val="21"/>
          <w:szCs w:val="22"/>
        </w:rPr>
        <w:t>净零排放（</w:t>
      </w:r>
      <w:r w:rsidRPr="00881F67">
        <w:rPr>
          <w:rFonts w:cstheme="minorBidi"/>
          <w:sz w:val="21"/>
          <w:szCs w:val="22"/>
        </w:rPr>
        <w:t>Net-Zero Targets</w:t>
      </w:r>
      <w:r w:rsidRPr="00881F67">
        <w:rPr>
          <w:rFonts w:cstheme="minorBidi"/>
          <w:sz w:val="21"/>
          <w:szCs w:val="22"/>
        </w:rPr>
        <w:t>）、促进交通公平（</w:t>
      </w:r>
      <w:r w:rsidRPr="00881F67">
        <w:rPr>
          <w:rFonts w:cstheme="minorBidi"/>
          <w:sz w:val="21"/>
          <w:szCs w:val="22"/>
        </w:rPr>
        <w:t>Transport Justice</w:t>
      </w:r>
      <w:r w:rsidRPr="00881F67">
        <w:rPr>
          <w:rFonts w:cstheme="minorBidi"/>
          <w:sz w:val="21"/>
          <w:szCs w:val="22"/>
        </w:rPr>
        <w:t>）</w:t>
      </w:r>
      <w:r w:rsidR="00123308">
        <w:rPr>
          <w:rFonts w:cstheme="minorBidi" w:hint="eastAsia"/>
          <w:sz w:val="21"/>
          <w:szCs w:val="22"/>
        </w:rPr>
        <w:t>、改善公共健康</w:t>
      </w:r>
      <w:r w:rsidRPr="00881F67">
        <w:rPr>
          <w:rFonts w:cstheme="minorBidi"/>
          <w:sz w:val="21"/>
          <w:szCs w:val="22"/>
        </w:rPr>
        <w:t>以及提升城市空间活力的多重战略使命</w:t>
      </w:r>
      <w:r w:rsidRPr="00881F67">
        <w:rPr>
          <w:rFonts w:cstheme="minorBidi" w:hint="eastAsia"/>
          <w:sz w:val="21"/>
          <w:szCs w:val="22"/>
        </w:rPr>
        <w:t>。</w:t>
      </w:r>
    </w:p>
    <w:p w14:paraId="3827DA12" w14:textId="2E2BB015" w:rsidR="00A62AB0" w:rsidRPr="00B74311" w:rsidRDefault="00123308" w:rsidP="00B74311">
      <w:pPr>
        <w:pStyle w:val="NormalWeb"/>
        <w:spacing w:after="163"/>
        <w:ind w:firstLine="420"/>
        <w:rPr>
          <w:rFonts w:cstheme="minorBidi"/>
          <w:sz w:val="21"/>
          <w:szCs w:val="22"/>
        </w:rPr>
      </w:pPr>
      <w:r>
        <w:rPr>
          <w:rFonts w:cstheme="minorBidi" w:hint="eastAsia"/>
          <w:sz w:val="21"/>
          <w:szCs w:val="22"/>
        </w:rPr>
        <w:t>这种政策定位的转向，深刻重塑了城市交通的规划与治理范式。</w:t>
      </w:r>
      <w:r w:rsidR="00B74311" w:rsidRPr="00B74311">
        <w:rPr>
          <w:rFonts w:cstheme="minorBidi"/>
          <w:sz w:val="21"/>
          <w:szCs w:val="22"/>
        </w:rPr>
        <w:t>政策重心从</w:t>
      </w:r>
      <w:r w:rsidR="00B74311" w:rsidRPr="00B74311">
        <w:rPr>
          <w:rFonts w:cstheme="minorBidi"/>
          <w:sz w:val="21"/>
          <w:szCs w:val="22"/>
        </w:rPr>
        <w:t>“</w:t>
      </w:r>
      <w:r w:rsidR="00B74311" w:rsidRPr="00B74311">
        <w:rPr>
          <w:rFonts w:cstheme="minorBidi"/>
          <w:sz w:val="21"/>
          <w:szCs w:val="22"/>
        </w:rPr>
        <w:t>保障机动车通行下的边缘空间配给</w:t>
      </w:r>
      <w:r w:rsidR="00B74311" w:rsidRPr="00B74311">
        <w:rPr>
          <w:rFonts w:cstheme="minorBidi"/>
          <w:sz w:val="21"/>
          <w:szCs w:val="22"/>
        </w:rPr>
        <w:t>”</w:t>
      </w:r>
      <w:r w:rsidR="00B74311" w:rsidRPr="00B74311">
        <w:rPr>
          <w:rFonts w:cstheme="minorBidi"/>
          <w:sz w:val="21"/>
          <w:szCs w:val="22"/>
        </w:rPr>
        <w:t>，转向</w:t>
      </w:r>
      <w:r w:rsidR="00B74311" w:rsidRPr="00B74311">
        <w:rPr>
          <w:rFonts w:cstheme="minorBidi"/>
          <w:sz w:val="21"/>
          <w:szCs w:val="22"/>
        </w:rPr>
        <w:t>“</w:t>
      </w:r>
      <w:r w:rsidR="00B74311" w:rsidRPr="00B74311">
        <w:rPr>
          <w:rFonts w:cstheme="minorBidi"/>
          <w:sz w:val="21"/>
          <w:szCs w:val="22"/>
        </w:rPr>
        <w:t>以人为本的全域路权再分配</w:t>
      </w:r>
      <w:r w:rsidR="00B74311" w:rsidRPr="00B74311">
        <w:rPr>
          <w:rFonts w:cstheme="minorBidi"/>
          <w:sz w:val="21"/>
          <w:szCs w:val="22"/>
        </w:rPr>
        <w:t>”</w:t>
      </w:r>
      <w:r w:rsidR="00B74311" w:rsidRPr="00B74311">
        <w:rPr>
          <w:rFonts w:cstheme="minorBidi"/>
          <w:sz w:val="21"/>
          <w:szCs w:val="22"/>
        </w:rPr>
        <w:t>与</w:t>
      </w:r>
      <w:r w:rsidR="00B74311" w:rsidRPr="00B74311">
        <w:rPr>
          <w:rFonts w:cstheme="minorBidi"/>
          <w:sz w:val="21"/>
          <w:szCs w:val="22"/>
        </w:rPr>
        <w:t>“</w:t>
      </w:r>
      <w:r w:rsidR="00B74311" w:rsidRPr="00B74311">
        <w:rPr>
          <w:rFonts w:cstheme="minorBidi"/>
          <w:sz w:val="21"/>
          <w:szCs w:val="22"/>
        </w:rPr>
        <w:t>系统性骑行环境构建</w:t>
      </w:r>
      <w:r w:rsidR="00B74311" w:rsidRPr="00B74311">
        <w:rPr>
          <w:rFonts w:cstheme="minorBidi"/>
          <w:sz w:val="21"/>
          <w:szCs w:val="22"/>
        </w:rPr>
        <w:t>”</w:t>
      </w:r>
      <w:r w:rsidR="00B74311" w:rsidRPr="00B74311">
        <w:rPr>
          <w:rFonts w:cstheme="minorBidi"/>
          <w:sz w:val="21"/>
          <w:szCs w:val="22"/>
        </w:rPr>
        <w:t>。由全球超级大都市主导的这一范式转型，对骑行设施的供给质量与评价标准提出了全新要求，驱动规划实践从局部的工程微调迈向系统性的网络与街道重塑</w:t>
      </w:r>
      <w:r w:rsidR="00B74311" w:rsidRPr="00B74311">
        <w:rPr>
          <w:rFonts w:cstheme="minorBidi" w:hint="eastAsia"/>
          <w:sz w:val="21"/>
          <w:szCs w:val="22"/>
        </w:rPr>
        <w:t>。</w:t>
      </w:r>
    </w:p>
    <w:p w14:paraId="0C15C1D5" w14:textId="5DBE3A85" w:rsidR="00945AB5" w:rsidRDefault="002C25DB">
      <w:pPr>
        <w:pStyle w:val="Heading2"/>
        <w:numPr>
          <w:ilvl w:val="0"/>
          <w:numId w:val="0"/>
        </w:numPr>
        <w:spacing w:after="65"/>
      </w:pPr>
      <w:r>
        <w:rPr>
          <w:rFonts w:hint="eastAsia"/>
        </w:rPr>
        <w:t xml:space="preserve">1.2  </w:t>
      </w:r>
      <w:del w:id="0" w:author="pippin hsu" w:date="2026-10-09T11:10:00Z" w16du:dateUtc="2026-10-09T03:10:00Z">
        <w:r w:rsidR="00E25BEA" w:rsidDel="00743BBB">
          <w:rPr>
            <w:rFonts w:hint="eastAsia"/>
          </w:rPr>
          <w:delText>骑行设施内涵的演变</w:delText>
        </w:r>
      </w:del>
      <w:ins w:id="1" w:author="pippin hsu" w:date="2026-10-09T11:10:00Z" w16du:dateUtc="2026-10-09T03:10:00Z">
        <w:r w:rsidR="00743BBB">
          <w:rPr>
            <w:rFonts w:hint="eastAsia"/>
          </w:rPr>
          <w:t>骑行？的演变</w:t>
        </w:r>
      </w:ins>
      <w:r w:rsidR="00E25BEA">
        <w:rPr>
          <w:rFonts w:hint="eastAsia"/>
        </w:rPr>
        <w:t>：从路段到网络</w:t>
      </w:r>
      <w:ins w:id="2" w:author="pippin hsu" w:date="2026-10-09T11:10:00Z" w16du:dateUtc="2026-10-09T03:10:00Z">
        <w:r w:rsidR="00743BBB">
          <w:rPr>
            <w:rFonts w:hint="eastAsia"/>
          </w:rPr>
          <w:t>？</w:t>
        </w:r>
      </w:ins>
      <w:r w:rsidR="00E25BEA">
        <w:rPr>
          <w:rFonts w:hint="eastAsia"/>
        </w:rPr>
        <w:t>与街道</w:t>
      </w:r>
    </w:p>
    <w:p w14:paraId="07820410" w14:textId="77777777" w:rsidR="00A62AB0" w:rsidRDefault="00EB05BF" w:rsidP="00A62AB0">
      <w:pPr>
        <w:spacing w:after="163"/>
        <w:ind w:firstLine="420"/>
      </w:pPr>
      <w:r>
        <w:rPr>
          <w:rFonts w:hint="eastAsia"/>
        </w:rPr>
        <w:t>随着自行车交通政策地位的提升，骑行设施的内涵在</w:t>
      </w:r>
      <w:r w:rsidRPr="00A62AB0">
        <w:rPr>
          <w:rFonts w:hint="eastAsia"/>
          <w:b/>
          <w:bCs/>
        </w:rPr>
        <w:t>空间尺度</w:t>
      </w:r>
      <w:r>
        <w:rPr>
          <w:rFonts w:hint="eastAsia"/>
        </w:rPr>
        <w:t>与</w:t>
      </w:r>
      <w:r w:rsidRPr="00A62AB0">
        <w:rPr>
          <w:rFonts w:hint="eastAsia"/>
          <w:b/>
          <w:bCs/>
        </w:rPr>
        <w:t>干预手段</w:t>
      </w:r>
      <w:r>
        <w:rPr>
          <w:rFonts w:hint="eastAsia"/>
        </w:rPr>
        <w:t>两个维度上发生了深刻转变：评价对象从单一路段扩展至整体网络，改善手段则从单纯提供分隔设施延伸至综合管理街道交通环境。</w:t>
      </w:r>
    </w:p>
    <w:p w14:paraId="49533DC2" w14:textId="544DF96F" w:rsidR="00A62AB0" w:rsidRPr="00A62AB0" w:rsidRDefault="00A62AB0" w:rsidP="00A62AB0">
      <w:pPr>
        <w:spacing w:after="163"/>
        <w:ind w:firstLine="420"/>
        <w:rPr>
          <w:rFonts w:eastAsiaTheme="majorEastAsia" w:cstheme="majorBidi"/>
          <w:szCs w:val="32"/>
        </w:rPr>
      </w:pPr>
      <w:r w:rsidRPr="00A62AB0">
        <w:rPr>
          <w:rFonts w:eastAsiaTheme="majorEastAsia" w:cstheme="majorBidi" w:hint="eastAsia"/>
          <w:szCs w:val="32"/>
        </w:rPr>
        <w:t>在空间尺度上，实现了从</w:t>
      </w:r>
      <w:r w:rsidRPr="00A62AB0">
        <w:rPr>
          <w:rFonts w:eastAsiaTheme="majorEastAsia" w:cstheme="majorBidi"/>
          <w:szCs w:val="32"/>
        </w:rPr>
        <w:t>“</w:t>
      </w:r>
      <w:r w:rsidRPr="00A62AB0">
        <w:rPr>
          <w:rFonts w:eastAsiaTheme="majorEastAsia" w:cstheme="majorBidi" w:hint="eastAsia"/>
          <w:szCs w:val="32"/>
        </w:rPr>
        <w:t>单条路段</w:t>
      </w:r>
      <w:r w:rsidRPr="00A62AB0">
        <w:rPr>
          <w:rFonts w:eastAsiaTheme="majorEastAsia" w:cstheme="majorBidi"/>
          <w:szCs w:val="32"/>
        </w:rPr>
        <w:t>”</w:t>
      </w:r>
      <w:r w:rsidRPr="00A62AB0">
        <w:rPr>
          <w:rFonts w:eastAsiaTheme="majorEastAsia" w:cstheme="majorBidi" w:hint="eastAsia"/>
          <w:szCs w:val="32"/>
        </w:rPr>
        <w:t>到</w:t>
      </w:r>
      <w:r w:rsidRPr="00A62AB0">
        <w:rPr>
          <w:rFonts w:eastAsiaTheme="majorEastAsia" w:cstheme="majorBidi"/>
          <w:szCs w:val="32"/>
        </w:rPr>
        <w:t>“</w:t>
      </w:r>
      <w:r w:rsidRPr="00A62AB0">
        <w:rPr>
          <w:rFonts w:eastAsiaTheme="majorEastAsia" w:cstheme="majorBidi" w:hint="eastAsia"/>
          <w:szCs w:val="32"/>
        </w:rPr>
        <w:t>完整网络</w:t>
      </w:r>
      <w:r w:rsidRPr="00A62AB0">
        <w:rPr>
          <w:rFonts w:eastAsiaTheme="majorEastAsia" w:cstheme="majorBidi"/>
          <w:szCs w:val="32"/>
        </w:rPr>
        <w:t>”</w:t>
      </w:r>
      <w:r w:rsidRPr="00A62AB0">
        <w:rPr>
          <w:rFonts w:eastAsiaTheme="majorEastAsia" w:cstheme="majorBidi" w:hint="eastAsia"/>
          <w:szCs w:val="32"/>
        </w:rPr>
        <w:t>的跨越。早期的骑行设施建设多以路段为基本单元，侧重于在既有道路上划设自行车道或建设物理隔离设施，其建设绩效主要由设施总里程衡量。然而，单一的里程指标既无法刻画设施的连续性与空间质量，亦难以评估其构成有效出行路线的能力。研究与实践逐渐表明，骑行者的空间行为是在网络层面展开的，路线中交通压力最高的路段或交叉口（即</w:t>
      </w:r>
      <w:r w:rsidRPr="00A62AB0">
        <w:rPr>
          <w:rFonts w:eastAsiaTheme="majorEastAsia" w:cstheme="majorBidi"/>
          <w:szCs w:val="32"/>
        </w:rPr>
        <w:t>“</w:t>
      </w:r>
      <w:r w:rsidRPr="00A62AB0">
        <w:rPr>
          <w:rFonts w:eastAsiaTheme="majorEastAsia" w:cstheme="majorBidi" w:hint="eastAsia"/>
          <w:szCs w:val="32"/>
        </w:rPr>
        <w:t>瓶颈段</w:t>
      </w:r>
      <w:r w:rsidRPr="00A62AB0">
        <w:rPr>
          <w:rFonts w:eastAsiaTheme="majorEastAsia" w:cstheme="majorBidi"/>
          <w:szCs w:val="32"/>
        </w:rPr>
        <w:t>”</w:t>
      </w:r>
      <w:r w:rsidRPr="00A62AB0">
        <w:rPr>
          <w:rFonts w:eastAsiaTheme="majorEastAsia" w:cstheme="majorBidi" w:hint="eastAsia"/>
          <w:szCs w:val="32"/>
        </w:rPr>
        <w:t>）往往决定了整体出行的可行性与吸引力</w:t>
      </w:r>
      <w:r w:rsidR="00133D7A">
        <w:rPr>
          <w:rFonts w:eastAsiaTheme="majorEastAsia" w:cstheme="majorBidi" w:hint="eastAsia"/>
          <w:szCs w:val="32"/>
        </w:rPr>
        <w:t xml:space="preserve"> </w:t>
      </w:r>
      <w:r w:rsidR="00133D7A">
        <w:rPr>
          <w:rFonts w:eastAsiaTheme="majorEastAsia" w:cstheme="majorBidi"/>
          <w:szCs w:val="32"/>
        </w:rPr>
        <w:fldChar w:fldCharType="begin"/>
      </w:r>
      <w:r w:rsidR="00133D7A">
        <w:rPr>
          <w:rFonts w:eastAsiaTheme="majorEastAsia" w:cstheme="majorBidi"/>
          <w:szCs w:val="32"/>
        </w:rPr>
        <w:instrText xml:space="preserve"> ADDIN ZOTERO_ITEM CSL_CITATION {"citationID":"1L01UrN4","properties":{"unsorted":false,"formattedCitation":"(Mekuria, Furth and Nixon, 2012)","plainCitation":"(Mekuria, Furth and Nixon, 2012)","noteIndex":0},"citationItems":[{"id":468,"uris":["http://zotero.org/users/18218563/items/W2FPIQG4"],"itemData":{"id":468,"type":"report","abstract":"For a bicycling network to attract the widest possible segment of the population, its most fundamental attribute should be low-stress connectivity, that is, providing routes between people’s origins and destinations that do not require cyclists to use links that exceed their tolerance for traffic stress, and that do not involve an undue level of detour. The objective of this study is to develop measures of low-stress connectivity that can be used to evaluate and guide bicycle network planning. We propose a set of criteria by which road segments can be classified into four levels of traffic stress (LTS). LTS 1 is suitable for children; LTS 2, based on Dutch bikeway design criteria, represents the traffic stress that most adults will tolerate; LTS 3 and 4 represent greater levels of stress. As a case study, every street in San Jose, California, was classified by LTS. Maps in which only bicycle-friendly links are displayed reveal a city divided into islands within which low-stress bicycling is possible, but separated from one another by barriers that can be crossed only by using high-stress links. Two points in the network are said to be connected at a given level of traffic stress if the subnetwork of links that do not exceed the specified level of stress connects them with a path whose length does not exceed a detour criterion (25% longer than the most direct path). For the network as a whole, we demonstrate two measures of connectivity that can be applied for a given level of traffic stress. One is “percent trips connected,” defined as the fraction of trips in the regional trip table that can be made without exceeding a specified level of stress and without excessive detour. This study used the home-to-work trip table, though in principle any trip table, including all trips, could be used. The second is “percent nodes connected,” a cruder measure that does not require a regional trip table, but measures the fraction of nodes in the street network (mostly street intersections) that are connected to each other. Because traffic analysis zones (TAZs) are too coarse a geographic unit for evaluating connectivity by bicycle, we also demonstrate a method of disaggregating the trip table from the TAZ level to census blocks. For any given TAZ, origins in the home-to-work trip table are allocated in proportion to population, while destinations are allocated based on land-use data. In the base case, the fraction of work trips up to six miles long that are connected at LTS 2 is 4.7%, providing a plausible explanation for the city’s low bicycling share. We show that this figure would almost triple if a proposed slate of improvements, totaling 32 miles in length but with strategically placed segments that provide low-stress connectivity across barriers, were implemented.","citation-key":"mekuria2012a","language":"English","title":"Low-stress bicycling and network connectivity.","URL":"https://rosap.ntl.bts.gov","author":[{"family":"Mekuria","given":"Maaza C."},{"family":"Furth","given":"Peter G."},{"family":"Nixon","given":"Hilary"}],"accessed":{"date-parts":[["2026",3,13]]},"issued":{"date-parts":[["2012",5,1]]}}}],"schema":"https://github.com/citation-style-language/schema/raw/master/csl-citation.json"} </w:instrText>
      </w:r>
      <w:r w:rsidR="00133D7A">
        <w:rPr>
          <w:rFonts w:eastAsiaTheme="majorEastAsia" w:cstheme="majorBidi"/>
          <w:szCs w:val="32"/>
        </w:rPr>
        <w:fldChar w:fldCharType="separate"/>
      </w:r>
      <w:r w:rsidR="00133D7A">
        <w:rPr>
          <w:rFonts w:eastAsiaTheme="majorEastAsia" w:cstheme="majorBidi"/>
          <w:noProof/>
          <w:szCs w:val="32"/>
        </w:rPr>
        <w:t>(Mekuria, Furth and Nixon, 2012)</w:t>
      </w:r>
      <w:r w:rsidR="00133D7A">
        <w:rPr>
          <w:rFonts w:eastAsiaTheme="majorEastAsia" w:cstheme="majorBidi"/>
          <w:szCs w:val="32"/>
        </w:rPr>
        <w:fldChar w:fldCharType="end"/>
      </w:r>
      <w:r w:rsidRPr="00A62AB0">
        <w:rPr>
          <w:rFonts w:eastAsiaTheme="majorEastAsia" w:cstheme="majorBidi" w:hint="eastAsia"/>
          <w:szCs w:val="32"/>
        </w:rPr>
        <w:t>。因此，设施规划的视角转向网络系统，强调连通性、等级结构及断点治理，并将交叉口设计、接驳公共交通及停放设施统一纳入规划范式。</w:t>
      </w:r>
    </w:p>
    <w:p w14:paraId="139073C5" w14:textId="4C115476" w:rsidR="00A62AB0" w:rsidRPr="00A62AB0" w:rsidRDefault="00A62AB0" w:rsidP="00A62AB0">
      <w:pPr>
        <w:spacing w:after="163"/>
        <w:ind w:firstLine="420"/>
        <w:rPr>
          <w:rFonts w:eastAsiaTheme="majorEastAsia" w:cstheme="majorBidi"/>
          <w:szCs w:val="32"/>
        </w:rPr>
      </w:pPr>
      <w:r w:rsidRPr="00A62AB0">
        <w:rPr>
          <w:rFonts w:eastAsiaTheme="majorEastAsia" w:cstheme="majorBidi" w:hint="eastAsia"/>
          <w:szCs w:val="32"/>
        </w:rPr>
        <w:t>在干预手段上，实现了从</w:t>
      </w:r>
      <w:r w:rsidRPr="00A62AB0">
        <w:rPr>
          <w:rFonts w:eastAsiaTheme="majorEastAsia" w:cstheme="majorBidi"/>
          <w:szCs w:val="32"/>
        </w:rPr>
        <w:t>“</w:t>
      </w:r>
      <w:r w:rsidRPr="00A62AB0">
        <w:rPr>
          <w:rFonts w:eastAsiaTheme="majorEastAsia" w:cstheme="majorBidi" w:hint="eastAsia"/>
          <w:szCs w:val="32"/>
        </w:rPr>
        <w:t>物理隔离</w:t>
      </w:r>
      <w:r w:rsidRPr="00A62AB0">
        <w:rPr>
          <w:rFonts w:eastAsiaTheme="majorEastAsia" w:cstheme="majorBidi"/>
          <w:szCs w:val="32"/>
        </w:rPr>
        <w:t>”</w:t>
      </w:r>
      <w:r w:rsidRPr="00A62AB0">
        <w:rPr>
          <w:rFonts w:eastAsiaTheme="majorEastAsia" w:cstheme="majorBidi" w:hint="eastAsia"/>
          <w:szCs w:val="32"/>
        </w:rPr>
        <w:t>到</w:t>
      </w:r>
      <w:r w:rsidRPr="00A62AB0">
        <w:rPr>
          <w:rFonts w:eastAsiaTheme="majorEastAsia" w:cstheme="majorBidi"/>
          <w:szCs w:val="32"/>
        </w:rPr>
        <w:t>“</w:t>
      </w:r>
      <w:r w:rsidRPr="00A62AB0">
        <w:rPr>
          <w:rFonts w:eastAsiaTheme="majorEastAsia" w:cstheme="majorBidi" w:hint="eastAsia"/>
          <w:szCs w:val="32"/>
        </w:rPr>
        <w:t>街道环境协同治理</w:t>
      </w:r>
      <w:r w:rsidRPr="00A62AB0">
        <w:rPr>
          <w:rFonts w:eastAsiaTheme="majorEastAsia" w:cstheme="majorBidi"/>
          <w:szCs w:val="32"/>
        </w:rPr>
        <w:t>”</w:t>
      </w:r>
      <w:r w:rsidRPr="00A62AB0">
        <w:rPr>
          <w:rFonts w:eastAsiaTheme="majorEastAsia" w:cstheme="majorBidi" w:hint="eastAsia"/>
          <w:szCs w:val="32"/>
        </w:rPr>
        <w:t>的拓展。改善骑行环境的途径并不局限于空间上的物理分隔。在低车速、低流量的街道空间中，骑行者在混合交通模式下亦能获得极高安全感。因此，降低车速限制、建立低交通社区（</w:t>
      </w:r>
      <w:r w:rsidRPr="00A62AB0">
        <w:rPr>
          <w:rFonts w:eastAsiaTheme="majorEastAsia" w:cstheme="majorBidi"/>
          <w:szCs w:val="32"/>
        </w:rPr>
        <w:t>Low Traffic Neighbourhoods</w:t>
      </w:r>
      <w:r w:rsidRPr="00A62AB0">
        <w:rPr>
          <w:rFonts w:eastAsiaTheme="majorEastAsia" w:cstheme="majorBidi" w:hint="eastAsia"/>
          <w:szCs w:val="32"/>
        </w:rPr>
        <w:t>）</w:t>
      </w:r>
      <w:r w:rsidR="00133D7A">
        <w:rPr>
          <w:rFonts w:eastAsiaTheme="majorEastAsia" w:cstheme="majorBidi" w:hint="eastAsia"/>
          <w:szCs w:val="32"/>
        </w:rPr>
        <w:t>以及</w:t>
      </w:r>
      <w:r w:rsidRPr="00A62AB0">
        <w:rPr>
          <w:rFonts w:eastAsiaTheme="majorEastAsia" w:cstheme="majorBidi" w:hint="eastAsia"/>
          <w:szCs w:val="32"/>
        </w:rPr>
        <w:t>引入过滤式通行（</w:t>
      </w:r>
      <w:r w:rsidRPr="00A62AB0">
        <w:rPr>
          <w:rFonts w:eastAsiaTheme="majorEastAsia" w:cstheme="majorBidi"/>
          <w:szCs w:val="32"/>
        </w:rPr>
        <w:t>filtered permeability</w:t>
      </w:r>
      <w:r w:rsidRPr="00A62AB0">
        <w:rPr>
          <w:rFonts w:eastAsiaTheme="majorEastAsia" w:cstheme="majorBidi" w:hint="eastAsia"/>
          <w:szCs w:val="32"/>
        </w:rPr>
        <w:t>）等交通管制手段，已成为重塑骑行环境的关键途径</w:t>
      </w:r>
      <w:r w:rsidR="00133D7A">
        <w:rPr>
          <w:rFonts w:eastAsiaTheme="majorEastAsia" w:cstheme="majorBidi" w:hint="eastAsia"/>
          <w:szCs w:val="32"/>
        </w:rPr>
        <w:t xml:space="preserve"> </w:t>
      </w:r>
      <w:r w:rsidR="00133D7A">
        <w:rPr>
          <w:rFonts w:eastAsiaTheme="majorEastAsia" w:cstheme="majorBidi"/>
          <w:szCs w:val="32"/>
        </w:rPr>
        <w:fldChar w:fldCharType="begin"/>
      </w:r>
      <w:r w:rsidR="00133D7A">
        <w:rPr>
          <w:rFonts w:eastAsiaTheme="majorEastAsia" w:cstheme="majorBidi"/>
          <w:szCs w:val="32"/>
        </w:rPr>
        <w:instrText xml:space="preserve"> ADDIN ZOTERO_ITEM CSL_CITATION {"citationID":"291ta2Xz","properties":{"unsorted":false,"formattedCitation":"(Aldred {\\i{}et al.}, 2021)","plainCitation":"(Aldred et al., 2021)","noteIndex":0},"citationItems":[{"id":1685,"uris":["http://zotero.org/users/18218563/items/KQ3TU765"],"itemData":{"id":1685,"type":"article-journal","abstract":"In this article we examine equity in new active travel infrastructure in London, UK. We focus on Low Traffic Neighbourhoods (LTNs) introduced during Covid-19. These area-based schemes mainly involve ‘modal filters’ that restrict through motor traffic from residential streets within a neighbourhood. Such approaches to traffic management are traditional in the Netherlands, but are relatively novel in London and other global cities such as Barcelona. LTNs are often controversial, with one criticism being that they are implemented in affluent areas and hence benefit richer residents. London represents an excellent opportunity to investigate whether these rapidly introduced schemes have so far been equitably distributed. We focused on LTNs introduced between March and September 2020 and still present at the end of October 2020. Having generated datasets representing these new LTN locations and their boundary roads, we matched these to Output Areas (OAs, administrative areas containing around 300 residents). We then examined the extent to which LTN implementation was associated with age, ethnicity, disability, employment and car ownership (using Census 2011 data) and small-area deprivation (using the Index of Multiple Deprivation 2019). We estimated that 3.7% of all Londoners live inside a new LTN, and 8.9% live within 500 m walking distance of a new modal filter. Across London as a whole, people in the most deprived quarter of OAs were 2.5 times more likely to live in a new LTN, compared to Londoners in the least deprived quarter. While overall Black, Asian and Minority Ethnic (BAME) people were slightly more likely than White Londoners to live in a new LTN, this varied by ethnic group. Specifically, Black Londoners were somewhat more likely, and Asian Londoners somewhat less likely than White people to live in a new LTN. Car-free households were more likely to live in a new LTN. We also examined equity within London's districts, which lead on implementation of LTNs. In the median district, people in more deprived areas were more likely to live in an LTN than people in less deprived areas, suggesting that, on average, individual districts have prioritised their more deprived areas. However, in the median district, BAME residents were slightly less likely to live in an LTN than White residents. Across districts implementing LTNs there was wide variation, with some much more or less equitable than others. A third of districts implemented no LTNs at all. Finally, at the micro level, residents living in LTNs were demographically similar to neighbours living in OAs that touched an LTN boundary road. We conclude that LTN implementation has been broadly equitable at the city and micro levels, but the picture is more mixed at the district level, despite districts being encouraged to consider deprivation when planning LTN locations. Equity metrics should be used in policy and research to monitor and improve the distribution of active travel interventions.","citation-key":"aldred2021a","container-title":"Journal of Transport Geography","DOI":"10.1016/j.jtrangeo.2021.103194","ISSN":"0966-6923","journalAbbreviation":"Journal of Transport Geography","page":"103194","source":"ScienceDirect","title":"Equity in new active travel infrastructure: A spatial analysis of London's new Low Traffic Neighbourhoods","title-short":"Equity in new active travel infrastructure","volume":"96","author":[{"family":"Aldred","given":"Rachel"},{"family":"Verlinghieri","given":"Ersilia"},{"family":"Sharkey","given":"Megan"},{"family":"Itova","given":"Irena"},{"family":"Goodman","given":"Anna"}],"issued":{"date-parts":[["2021",10,1]]}}}],"schema":"https://github.com/citation-style-language/schema/raw/master/csl-citation.json"} </w:instrText>
      </w:r>
      <w:r w:rsidR="00133D7A">
        <w:rPr>
          <w:rFonts w:eastAsiaTheme="majorEastAsia" w:cstheme="majorBidi"/>
          <w:szCs w:val="32"/>
        </w:rPr>
        <w:fldChar w:fldCharType="separate"/>
      </w:r>
      <w:r w:rsidR="00133D7A" w:rsidRPr="00133D7A">
        <w:rPr>
          <w:rFonts w:cs="Times New Roman"/>
          <w:kern w:val="0"/>
          <w:szCs w:val="24"/>
          <w:lang w:val="en-GB"/>
        </w:rPr>
        <w:t xml:space="preserve">(Aldred </w:t>
      </w:r>
      <w:r w:rsidR="00133D7A" w:rsidRPr="00133D7A">
        <w:rPr>
          <w:rFonts w:cs="Times New Roman"/>
          <w:i/>
          <w:iCs/>
          <w:kern w:val="0"/>
          <w:szCs w:val="24"/>
          <w:lang w:val="en-GB"/>
        </w:rPr>
        <w:t>et al.</w:t>
      </w:r>
      <w:r w:rsidR="00133D7A" w:rsidRPr="00133D7A">
        <w:rPr>
          <w:rFonts w:cs="Times New Roman"/>
          <w:kern w:val="0"/>
          <w:szCs w:val="24"/>
          <w:lang w:val="en-GB"/>
        </w:rPr>
        <w:t>, 2021)</w:t>
      </w:r>
      <w:r w:rsidR="00133D7A">
        <w:rPr>
          <w:rFonts w:eastAsiaTheme="majorEastAsia" w:cstheme="majorBidi"/>
          <w:szCs w:val="32"/>
        </w:rPr>
        <w:fldChar w:fldCharType="end"/>
      </w:r>
      <w:r w:rsidRPr="00A62AB0">
        <w:rPr>
          <w:rFonts w:eastAsiaTheme="majorEastAsia" w:cstheme="majorBidi" w:hint="eastAsia"/>
          <w:szCs w:val="32"/>
        </w:rPr>
        <w:t>。此类实践将骑行环境与步行空间、街道活力及公共空间品质建立了紧密关联</w:t>
      </w:r>
      <w:r w:rsidRPr="00A62AB0">
        <w:rPr>
          <w:rFonts w:eastAsiaTheme="majorEastAsia" w:cstheme="majorBidi"/>
          <w:szCs w:val="32"/>
        </w:rPr>
        <w:t>。</w:t>
      </w:r>
    </w:p>
    <w:p w14:paraId="0A6F6C70" w14:textId="77777777" w:rsidR="00133D7A" w:rsidRDefault="00133D7A">
      <w:pPr>
        <w:pStyle w:val="Heading2"/>
        <w:numPr>
          <w:ilvl w:val="0"/>
          <w:numId w:val="0"/>
        </w:numPr>
        <w:spacing w:after="65"/>
        <w:rPr>
          <w:rFonts w:ascii="Arial" w:hAnsi="Arial" w:cs="Arial"/>
          <w:b w:val="0"/>
          <w:bCs w:val="0"/>
        </w:rPr>
      </w:pPr>
      <w:r>
        <w:rPr>
          <w:rFonts w:ascii="Arial" w:hAnsi="Arial" w:cs="Arial"/>
          <w:b w:val="0"/>
          <w:bCs w:val="0"/>
        </w:rPr>
        <w:lastRenderedPageBreak/>
        <w:t>两维度的协同与评价范式转向。</w:t>
      </w:r>
    </w:p>
    <w:p w14:paraId="206C72BF" w14:textId="36A2464B" w:rsidR="00133D7A" w:rsidRPr="00133D7A" w:rsidRDefault="00133D7A" w:rsidP="00133D7A">
      <w:pPr>
        <w:spacing w:after="163"/>
        <w:ind w:firstLine="420"/>
        <w:rPr>
          <w:rFonts w:eastAsiaTheme="majorEastAsia" w:cstheme="majorBidi"/>
          <w:szCs w:val="32"/>
        </w:rPr>
      </w:pPr>
      <w:r w:rsidRPr="00133D7A">
        <w:rPr>
          <w:rFonts w:eastAsiaTheme="majorEastAsia" w:cstheme="majorBidi"/>
          <w:szCs w:val="32"/>
        </w:rPr>
        <w:t>上述两维度的转变具有内在的系统关联性：网络代表了系统层面的连通与可达，而街道环境则决定了微观层面的品质与体验。良好的骑行环境不仅依赖隔离设施，更取决于交通秩序、空间舒适度以及与街道公共空间的协同。这意味着骑行设施的评价不能再停留在</w:t>
      </w:r>
      <w:r w:rsidRPr="00133D7A">
        <w:rPr>
          <w:rFonts w:eastAsiaTheme="majorEastAsia" w:cstheme="majorBidi"/>
          <w:szCs w:val="32"/>
        </w:rPr>
        <w:t>“</w:t>
      </w:r>
      <w:r w:rsidRPr="00133D7A">
        <w:rPr>
          <w:rFonts w:eastAsiaTheme="majorEastAsia" w:cstheme="majorBidi"/>
          <w:szCs w:val="32"/>
        </w:rPr>
        <w:t>建设里程</w:t>
      </w:r>
      <w:r w:rsidRPr="00133D7A">
        <w:rPr>
          <w:rFonts w:eastAsiaTheme="majorEastAsia" w:cstheme="majorBidi"/>
          <w:szCs w:val="32"/>
        </w:rPr>
        <w:t>”</w:t>
      </w:r>
      <w:r w:rsidRPr="00133D7A">
        <w:rPr>
          <w:rFonts w:eastAsiaTheme="majorEastAsia" w:cstheme="majorBidi"/>
          <w:szCs w:val="32"/>
        </w:rPr>
        <w:t>等规模指标，而需统筹评估网络的系统连通性与街道环境的综合支持度。这种视角要求建立一套覆盖多尺度、兼顾设施与品质的评价标准，由此推动了现代骑行评估体系的演进。</w:t>
      </w:r>
    </w:p>
    <w:p w14:paraId="0F43D4C8" w14:textId="65ED66D4" w:rsidR="00945AB5" w:rsidRDefault="00E25BEA" w:rsidP="00DE2A53">
      <w:pPr>
        <w:pStyle w:val="Heading2"/>
        <w:numPr>
          <w:ilvl w:val="1"/>
          <w:numId w:val="8"/>
        </w:numPr>
        <w:spacing w:after="65"/>
      </w:pPr>
      <w:r>
        <w:rPr>
          <w:rFonts w:hint="eastAsia"/>
        </w:rPr>
        <w:t>国际实践中的目标设定与成效评价</w:t>
      </w:r>
      <w:r w:rsidR="00FE1EE5">
        <w:rPr>
          <w:rFonts w:hint="eastAsia"/>
        </w:rPr>
        <w:t>标准</w:t>
      </w:r>
    </w:p>
    <w:p w14:paraId="4E17CB29" w14:textId="0E21E3E3" w:rsidR="00DE2A53" w:rsidRDefault="00DE2A53" w:rsidP="00DE2A53">
      <w:pPr>
        <w:spacing w:after="163"/>
        <w:ind w:firstLine="420"/>
        <w:rPr>
          <w:rFonts w:ascii="SimSun" w:eastAsia="SimSun" w:hAnsi="SimSun" w:cs="SimSun"/>
        </w:rPr>
      </w:pPr>
      <w:r w:rsidRPr="00DE2A53">
        <w:rPr>
          <w:rFonts w:eastAsiaTheme="majorEastAsia" w:cstheme="majorBidi" w:hint="eastAsia"/>
          <w:szCs w:val="32"/>
        </w:rPr>
        <w:t>政策定位的升维语设施内核的扩展，推动了骑行设施评估体系从早期的单一工程指标向综合性设计规范与</w:t>
      </w:r>
      <w:r>
        <w:rPr>
          <w:rFonts w:eastAsiaTheme="majorEastAsia" w:cstheme="majorBidi" w:hint="eastAsia"/>
          <w:szCs w:val="32"/>
        </w:rPr>
        <w:t>评估框架的演进。</w:t>
      </w:r>
      <w:r w:rsidR="006D74B8">
        <w:t>20</w:t>
      </w:r>
      <w:r w:rsidR="006D74B8">
        <w:t>世纪</w:t>
      </w:r>
      <w:r w:rsidR="006D74B8">
        <w:t>70</w:t>
      </w:r>
      <w:r w:rsidR="006D74B8">
        <w:t>年代，机动化带来的儿童道路安全危机引发了荷兰的使用者运动，荷兰在此前以骑行与机动车分离为道路工程基本原则的基础上，展开了系统的自行车交通治理实践。荷兰知识平台</w:t>
      </w:r>
      <w:r w:rsidR="006D74B8">
        <w:t>CROW</w:t>
      </w:r>
      <w:r w:rsidR="006D74B8">
        <w:t>在使用者经验与地方手册的基础上，于</w:t>
      </w:r>
      <w:r w:rsidR="006D74B8">
        <w:t>1993</w:t>
      </w:r>
      <w:r w:rsidR="006D74B8">
        <w:t>年出版了全国性手册《</w:t>
      </w:r>
      <w:r w:rsidR="006D74B8">
        <w:t>Sign up for the bike</w:t>
      </w:r>
      <w:r w:rsidR="006D74B8">
        <w:t>》（荷兰语名</w:t>
      </w:r>
      <w:r w:rsidR="006D74B8">
        <w:rPr>
          <w:rStyle w:val="Emphasis"/>
        </w:rPr>
        <w:t>Tekenen voor de fiets</w:t>
      </w:r>
      <w:r w:rsidR="006D74B8">
        <w:rPr>
          <w:rStyle w:val="Emphasis"/>
          <w:rFonts w:hint="eastAsia"/>
        </w:rPr>
        <w:t>，并于</w:t>
      </w:r>
      <w:r w:rsidR="006D74B8">
        <w:rPr>
          <w:rStyle w:val="Emphasis"/>
          <w:rFonts w:hint="eastAsia"/>
        </w:rPr>
        <w:t>2006</w:t>
      </w:r>
      <w:r w:rsidR="006D74B8">
        <w:rPr>
          <w:rStyle w:val="Emphasis"/>
          <w:rFonts w:hint="eastAsia"/>
        </w:rPr>
        <w:t>年和</w:t>
      </w:r>
      <w:r w:rsidR="006D74B8">
        <w:rPr>
          <w:rStyle w:val="Emphasis"/>
          <w:rFonts w:hint="eastAsia"/>
        </w:rPr>
        <w:t>2016</w:t>
      </w:r>
      <w:r w:rsidR="006D74B8">
        <w:rPr>
          <w:rStyle w:val="Emphasis"/>
          <w:rFonts w:hint="eastAsia"/>
        </w:rPr>
        <w:t>年更新</w:t>
      </w:r>
      <w:r w:rsidR="006D74B8">
        <w:rPr>
          <w:rFonts w:hint="eastAsia"/>
        </w:rPr>
        <w:t>）</w:t>
      </w:r>
      <w:r w:rsidR="006D74B8">
        <w:t>，标志着现代骑行设施评估与设计规范体系的建立</w:t>
      </w:r>
      <w:r w:rsidR="00314AED">
        <w:rPr>
          <w:rFonts w:hint="eastAsia"/>
        </w:rPr>
        <w:t xml:space="preserve"> </w:t>
      </w:r>
      <w:r w:rsidR="00314AED">
        <w:fldChar w:fldCharType="begin"/>
      </w:r>
      <w:r w:rsidR="00314AED">
        <w:instrText xml:space="preserve"> ADDIN ZOTERO_ITEM CSL_CITATION {"citationID":"RBmnmJHp","properties":{"unsorted":false,"formattedCitation":"(Dekker, 2025)","plainCitation":"(Dekker, 2025)","noteIndex":0},"citationItems":[{"id":1662,"uris":["http://zotero.org/users/18218563/items/W9B8DPC4"],"itemData":{"id":1662,"type":"book","citation-key":"dekker2025","DOI":"10.5117/9789463728478","edition":"1","ISBN":"978-1-003-69361-1","language":"en","license":"http://creativecommons.org/licenses/by-nc-nd/4.0","publisher":"Routledge","publisher-place":"London","source":"DOI.org (Crossref)","title":"Cycling Pathways: The Politics and Governance of Dutch Cycling Infrastructure, 1920-2020","title-short":"Cycling Pathways","URL":"https://www.taylorfrancis.com/books/9781003693611","author":[{"family":"Dekker","given":"Henk-Jan"}],"accessed":{"date-parts":[["2026",10,8]]},"issued":{"date-parts":[["2025",10,1]]}}}],"schema":"https://github.com/citation-style-language/schema/raw/master/csl-citation.json"} </w:instrText>
      </w:r>
      <w:r w:rsidR="00314AED">
        <w:fldChar w:fldCharType="separate"/>
      </w:r>
      <w:r w:rsidR="00314AED">
        <w:rPr>
          <w:noProof/>
        </w:rPr>
        <w:t>(Dekker, 2025)</w:t>
      </w:r>
      <w:r w:rsidR="00314AED">
        <w:fldChar w:fldCharType="end"/>
      </w:r>
      <w:r w:rsidR="006D74B8">
        <w:rPr>
          <w:rFonts w:ascii="SimSun" w:eastAsia="SimSun" w:hAnsi="SimSun" w:cs="SimSun" w:hint="eastAsia"/>
        </w:rPr>
        <w:t>。</w:t>
      </w:r>
    </w:p>
    <w:p w14:paraId="7112940A" w14:textId="5E96B45A" w:rsidR="006D74B8" w:rsidRPr="006D74B8" w:rsidRDefault="006D74B8" w:rsidP="006D74B8">
      <w:pPr>
        <w:spacing w:after="163"/>
        <w:ind w:firstLine="420"/>
        <w:rPr>
          <w:rFonts w:eastAsiaTheme="majorEastAsia" w:cstheme="majorBidi"/>
          <w:szCs w:val="32"/>
        </w:rPr>
      </w:pPr>
      <w:r w:rsidRPr="006D74B8">
        <w:rPr>
          <w:rFonts w:eastAsiaTheme="majorEastAsia" w:cstheme="majorBidi"/>
          <w:szCs w:val="32"/>
        </w:rPr>
        <w:t>CROW</w:t>
      </w:r>
      <w:r w:rsidRPr="006D74B8">
        <w:rPr>
          <w:rFonts w:eastAsiaTheme="majorEastAsia" w:cstheme="majorBidi" w:hint="eastAsia"/>
          <w:szCs w:val="32"/>
        </w:rPr>
        <w:t>体系的核心贡献在于提出了五大基本设计原则：</w:t>
      </w:r>
      <w:r w:rsidRPr="006D74B8">
        <w:rPr>
          <w:rFonts w:eastAsiaTheme="majorEastAsia" w:cstheme="majorBidi" w:hint="eastAsia"/>
          <w:b/>
          <w:bCs/>
          <w:szCs w:val="32"/>
        </w:rPr>
        <w:t>连贯性</w:t>
      </w:r>
      <w:r w:rsidRPr="006D74B8">
        <w:rPr>
          <w:rFonts w:eastAsiaTheme="majorEastAsia" w:cstheme="majorBidi" w:hint="eastAsia"/>
          <w:szCs w:val="32"/>
        </w:rPr>
        <w:t>（</w:t>
      </w:r>
      <w:r w:rsidRPr="006D74B8">
        <w:rPr>
          <w:rFonts w:eastAsiaTheme="majorEastAsia" w:cstheme="majorBidi"/>
          <w:szCs w:val="32"/>
        </w:rPr>
        <w:t>coherence</w:t>
      </w:r>
      <w:r w:rsidRPr="006D74B8">
        <w:rPr>
          <w:rFonts w:eastAsiaTheme="majorEastAsia" w:cstheme="majorBidi" w:hint="eastAsia"/>
          <w:szCs w:val="32"/>
        </w:rPr>
        <w:t>）要求设施构成完整网络；</w:t>
      </w:r>
      <w:r w:rsidRPr="006D74B8">
        <w:rPr>
          <w:rFonts w:eastAsiaTheme="majorEastAsia" w:cstheme="majorBidi" w:hint="eastAsia"/>
          <w:b/>
          <w:bCs/>
          <w:szCs w:val="32"/>
        </w:rPr>
        <w:t>直接性</w:t>
      </w:r>
      <w:r w:rsidRPr="006D74B8">
        <w:rPr>
          <w:rFonts w:eastAsiaTheme="majorEastAsia" w:cstheme="majorBidi" w:hint="eastAsia"/>
          <w:szCs w:val="32"/>
        </w:rPr>
        <w:t>（</w:t>
      </w:r>
      <w:r w:rsidRPr="006D74B8">
        <w:rPr>
          <w:rFonts w:eastAsiaTheme="majorEastAsia" w:cstheme="majorBidi"/>
          <w:szCs w:val="32"/>
        </w:rPr>
        <w:t>directness</w:t>
      </w:r>
      <w:r w:rsidRPr="006D74B8">
        <w:rPr>
          <w:rFonts w:eastAsiaTheme="majorEastAsia" w:cstheme="majorBidi" w:hint="eastAsia"/>
          <w:szCs w:val="32"/>
        </w:rPr>
        <w:t>）强调减少骑行绕行与节点延误；</w:t>
      </w:r>
      <w:r w:rsidRPr="006D74B8">
        <w:rPr>
          <w:rFonts w:eastAsiaTheme="majorEastAsia" w:cstheme="majorBidi" w:hint="eastAsia"/>
          <w:b/>
          <w:bCs/>
          <w:szCs w:val="32"/>
        </w:rPr>
        <w:t>安全性</w:t>
      </w:r>
      <w:r w:rsidRPr="006D74B8">
        <w:rPr>
          <w:rFonts w:eastAsiaTheme="majorEastAsia" w:cstheme="majorBidi" w:hint="eastAsia"/>
          <w:szCs w:val="32"/>
        </w:rPr>
        <w:t>（</w:t>
      </w:r>
      <w:r w:rsidRPr="006D74B8">
        <w:rPr>
          <w:rFonts w:eastAsiaTheme="majorEastAsia" w:cstheme="majorBidi"/>
          <w:szCs w:val="32"/>
        </w:rPr>
        <w:t>safety</w:t>
      </w:r>
      <w:r w:rsidRPr="006D74B8">
        <w:rPr>
          <w:rFonts w:eastAsiaTheme="majorEastAsia" w:cstheme="majorBidi" w:hint="eastAsia"/>
          <w:szCs w:val="32"/>
        </w:rPr>
        <w:t>）致力于降低与机动车的冲突风险；</w:t>
      </w:r>
      <w:r w:rsidRPr="006D74B8">
        <w:rPr>
          <w:rFonts w:eastAsiaTheme="majorEastAsia" w:cstheme="majorBidi" w:hint="eastAsia"/>
          <w:b/>
          <w:bCs/>
          <w:szCs w:val="32"/>
        </w:rPr>
        <w:t>舒适性</w:t>
      </w:r>
      <w:r w:rsidRPr="006D74B8">
        <w:rPr>
          <w:rFonts w:eastAsiaTheme="majorEastAsia" w:cstheme="majorBidi" w:hint="eastAsia"/>
          <w:szCs w:val="32"/>
        </w:rPr>
        <w:t>（</w:t>
      </w:r>
      <w:r w:rsidRPr="006D74B8">
        <w:rPr>
          <w:rFonts w:eastAsiaTheme="majorEastAsia" w:cstheme="majorBidi"/>
          <w:szCs w:val="32"/>
        </w:rPr>
        <w:t>comfort</w:t>
      </w:r>
      <w:r w:rsidRPr="006D74B8">
        <w:rPr>
          <w:rFonts w:eastAsiaTheme="majorEastAsia" w:cstheme="majorBidi" w:hint="eastAsia"/>
          <w:szCs w:val="32"/>
        </w:rPr>
        <w:t>）关注铺装平整度、坡度及环境干扰；</w:t>
      </w:r>
      <w:r w:rsidRPr="006D74B8">
        <w:rPr>
          <w:rFonts w:eastAsiaTheme="majorEastAsia" w:cstheme="majorBidi" w:hint="eastAsia"/>
          <w:b/>
          <w:bCs/>
          <w:szCs w:val="32"/>
        </w:rPr>
        <w:t>吸引力</w:t>
      </w:r>
      <w:r w:rsidRPr="006D74B8">
        <w:rPr>
          <w:rFonts w:eastAsiaTheme="majorEastAsia" w:cstheme="majorBidi" w:hint="eastAsia"/>
          <w:szCs w:val="32"/>
        </w:rPr>
        <w:t>（</w:t>
      </w:r>
      <w:r w:rsidRPr="006D74B8">
        <w:rPr>
          <w:rFonts w:eastAsiaTheme="majorEastAsia" w:cstheme="majorBidi"/>
          <w:szCs w:val="32"/>
        </w:rPr>
        <w:t>attractiveness</w:t>
      </w:r>
      <w:r w:rsidRPr="006D74B8">
        <w:rPr>
          <w:rFonts w:eastAsiaTheme="majorEastAsia" w:cstheme="majorBidi" w:hint="eastAsia"/>
          <w:szCs w:val="32"/>
        </w:rPr>
        <w:t>）则涵盖街道空间品质、景观与骑行体验。本文将五项原则归纳为两类：连贯性与直接性关乎系统性的网络结构，安全性、舒适性与吸引力关乎街道空间的骑行体验。</w:t>
      </w:r>
    </w:p>
    <w:p w14:paraId="494E8FBF" w14:textId="1B8FEDDF" w:rsidR="00DE2A53" w:rsidRPr="006D74B8" w:rsidRDefault="006D74B8" w:rsidP="006D74B8">
      <w:pPr>
        <w:spacing w:after="163"/>
        <w:ind w:firstLine="420"/>
        <w:rPr>
          <w:rFonts w:eastAsiaTheme="majorEastAsia" w:cstheme="majorBidi"/>
          <w:szCs w:val="32"/>
        </w:rPr>
      </w:pPr>
      <w:r w:rsidRPr="006D74B8">
        <w:rPr>
          <w:rFonts w:eastAsiaTheme="majorEastAsia" w:cstheme="majorBidi"/>
          <w:szCs w:val="32"/>
        </w:rPr>
        <w:t>CROW</w:t>
      </w:r>
      <w:r w:rsidRPr="006D74B8">
        <w:rPr>
          <w:rFonts w:eastAsiaTheme="majorEastAsia" w:cstheme="majorBidi" w:hint="eastAsia"/>
          <w:szCs w:val="32"/>
        </w:rPr>
        <w:t>体系的确立不仅为欧洲</w:t>
      </w:r>
      <w:r w:rsidR="00314AED">
        <w:rPr>
          <w:rFonts w:eastAsiaTheme="majorEastAsia" w:cstheme="majorBidi" w:hint="eastAsia"/>
          <w:szCs w:val="32"/>
        </w:rPr>
        <w:t>其他国家，也为北美和澳大利亚等地城市的骑行设施</w:t>
      </w:r>
      <w:r w:rsidRPr="006D74B8">
        <w:rPr>
          <w:rFonts w:eastAsiaTheme="majorEastAsia" w:cstheme="majorBidi" w:hint="eastAsia"/>
          <w:szCs w:val="32"/>
        </w:rPr>
        <w:t>设计规范奠定了工程基石，也推动了</w:t>
      </w:r>
      <w:r w:rsidRPr="006D74B8">
        <w:rPr>
          <w:rFonts w:eastAsiaTheme="majorEastAsia" w:cstheme="majorBidi"/>
          <w:szCs w:val="32"/>
        </w:rPr>
        <w:t>"</w:t>
      </w:r>
      <w:r w:rsidRPr="006D74B8">
        <w:rPr>
          <w:rFonts w:eastAsiaTheme="majorEastAsia" w:cstheme="majorBidi" w:hint="eastAsia"/>
          <w:szCs w:val="32"/>
        </w:rPr>
        <w:t>以骑行者感知和系统效能为导向</w:t>
      </w:r>
      <w:r w:rsidRPr="006D74B8">
        <w:rPr>
          <w:rFonts w:eastAsiaTheme="majorEastAsia" w:cstheme="majorBidi"/>
          <w:szCs w:val="32"/>
        </w:rPr>
        <w:t>"</w:t>
      </w:r>
      <w:r w:rsidRPr="006D74B8">
        <w:rPr>
          <w:rFonts w:eastAsiaTheme="majorEastAsia" w:cstheme="majorBidi" w:hint="eastAsia"/>
          <w:szCs w:val="32"/>
        </w:rPr>
        <w:t>的评估思路。然而，作为一套面向工程实践的设计指南，</w:t>
      </w:r>
      <w:r w:rsidRPr="006D74B8">
        <w:rPr>
          <w:rFonts w:eastAsiaTheme="majorEastAsia" w:cstheme="majorBidi"/>
          <w:szCs w:val="32"/>
        </w:rPr>
        <w:t>CROW</w:t>
      </w:r>
      <w:r w:rsidRPr="006D74B8">
        <w:rPr>
          <w:rFonts w:eastAsiaTheme="majorEastAsia" w:cstheme="majorBidi" w:hint="eastAsia"/>
          <w:szCs w:val="32"/>
        </w:rPr>
        <w:t>主要提供了原则性的评估框架。如何在学术</w:t>
      </w:r>
      <w:r>
        <w:rPr>
          <w:rFonts w:eastAsiaTheme="majorEastAsia" w:cstheme="majorBidi" w:hint="eastAsia"/>
          <w:szCs w:val="32"/>
        </w:rPr>
        <w:t>或工程</w:t>
      </w:r>
      <w:r w:rsidRPr="006D74B8">
        <w:rPr>
          <w:rFonts w:eastAsiaTheme="majorEastAsia" w:cstheme="majorBidi" w:hint="eastAsia"/>
          <w:szCs w:val="32"/>
        </w:rPr>
        <w:t>研究中将这些宏观原则解构为可度量、可比较的空间物理维度与数据指标，仍是</w:t>
      </w:r>
      <w:r w:rsidR="00314AED">
        <w:rPr>
          <w:rFonts w:eastAsiaTheme="majorEastAsia" w:cstheme="majorBidi" w:hint="eastAsia"/>
          <w:szCs w:val="32"/>
        </w:rPr>
        <w:t>骑行</w:t>
      </w:r>
      <w:r w:rsidRPr="006D74B8">
        <w:rPr>
          <w:rFonts w:eastAsiaTheme="majorEastAsia" w:cstheme="majorBidi" w:hint="eastAsia"/>
          <w:szCs w:val="32"/>
        </w:rPr>
        <w:t>交通规划领域的重要议题。</w:t>
      </w:r>
    </w:p>
    <w:p w14:paraId="7FBC59F3" w14:textId="23BEDD3A" w:rsidR="00945AB5" w:rsidRDefault="002C25DB">
      <w:pPr>
        <w:pStyle w:val="Heading1"/>
        <w:numPr>
          <w:ilvl w:val="0"/>
          <w:numId w:val="0"/>
        </w:numPr>
        <w:spacing w:after="65"/>
      </w:pPr>
      <w:r>
        <w:rPr>
          <w:rFonts w:hint="eastAsia"/>
        </w:rPr>
        <w:t xml:space="preserve">2  </w:t>
      </w:r>
      <w:r w:rsidR="00945A67">
        <w:rPr>
          <w:rFonts w:hint="eastAsia"/>
        </w:rPr>
        <w:t>骑行品质</w:t>
      </w:r>
      <w:r w:rsidR="00E25BEA">
        <w:rPr>
          <w:rFonts w:hint="eastAsia"/>
        </w:rPr>
        <w:t>的概念与构成</w:t>
      </w:r>
    </w:p>
    <w:p w14:paraId="066A77B6" w14:textId="03AFBDF5" w:rsidR="00E25BEA" w:rsidRDefault="00E25BEA" w:rsidP="00E25BEA">
      <w:pPr>
        <w:pStyle w:val="Heading2"/>
        <w:numPr>
          <w:ilvl w:val="0"/>
          <w:numId w:val="0"/>
        </w:numPr>
        <w:spacing w:after="65"/>
      </w:pPr>
      <w:r>
        <w:rPr>
          <w:rFonts w:hint="eastAsia"/>
        </w:rPr>
        <w:t xml:space="preserve">2.1 </w:t>
      </w:r>
      <w:del w:id="3" w:author="pippin hsu" w:date="2026-10-09T11:04:00Z" w16du:dateUtc="2026-10-09T03:04:00Z">
        <w:r w:rsidDel="00B00192">
          <w:rPr>
            <w:rFonts w:hint="eastAsia"/>
          </w:rPr>
          <w:delText>从“可步行性”到</w:delText>
        </w:r>
      </w:del>
      <w:r>
        <w:rPr>
          <w:rFonts w:hint="eastAsia"/>
        </w:rPr>
        <w:t>“骑行</w:t>
      </w:r>
      <w:ins w:id="4" w:author="pippin hsu" w:date="2026-10-09T11:05:00Z" w16du:dateUtc="2026-10-09T03:05:00Z">
        <w:r w:rsidR="00B00192">
          <w:rPr>
            <w:rFonts w:hint="eastAsia"/>
            <w:lang w:val="en-GB"/>
          </w:rPr>
          <w:t>品质</w:t>
        </w:r>
      </w:ins>
      <w:del w:id="5" w:author="pippin hsu" w:date="2026-10-09T11:04:00Z" w16du:dateUtc="2026-10-09T03:04:00Z">
        <w:r w:rsidDel="00B00192">
          <w:rPr>
            <w:rFonts w:hint="eastAsia"/>
          </w:rPr>
          <w:delText>环境质量</w:delText>
        </w:r>
      </w:del>
      <w:r>
        <w:rPr>
          <w:rFonts w:hint="eastAsia"/>
        </w:rPr>
        <w:t>”</w:t>
      </w:r>
    </w:p>
    <w:p w14:paraId="1FA11CFA" w14:textId="2A9C48CB" w:rsidR="00640DE9" w:rsidRPr="00E34400" w:rsidRDefault="00945A67" w:rsidP="00E34400">
      <w:pPr>
        <w:spacing w:after="163"/>
        <w:ind w:firstLine="420"/>
        <w:rPr>
          <w:lang w:val="en-GB"/>
        </w:rPr>
      </w:pPr>
      <w:r>
        <w:rPr>
          <w:rFonts w:hint="eastAsia"/>
        </w:rPr>
        <w:t>骑行品质</w:t>
      </w:r>
      <w:r w:rsidR="00640DE9" w:rsidRPr="00640DE9">
        <w:rPr>
          <w:rFonts w:hint="eastAsia"/>
        </w:rPr>
        <w:t>（</w:t>
      </w:r>
      <w:r w:rsidR="00640DE9" w:rsidRPr="00640DE9">
        <w:t>Bikeability</w:t>
      </w:r>
      <w:r w:rsidR="00640DE9">
        <w:rPr>
          <w:rFonts w:hint="eastAsia"/>
        </w:rPr>
        <w:t>或</w:t>
      </w:r>
      <w:r w:rsidR="00640DE9">
        <w:rPr>
          <w:lang w:val="en-GB"/>
        </w:rPr>
        <w:t>Cyclability</w:t>
      </w:r>
      <w:r w:rsidR="00640DE9" w:rsidRPr="00640DE9">
        <w:rPr>
          <w:rFonts w:hint="eastAsia"/>
        </w:rPr>
        <w:t>）的概念最初借鉴自交通研究中的</w:t>
      </w:r>
      <w:r w:rsidR="00640DE9" w:rsidRPr="00640DE9">
        <w:t>“</w:t>
      </w:r>
      <w:r w:rsidR="00640DE9" w:rsidRPr="00640DE9">
        <w:rPr>
          <w:rFonts w:hint="eastAsia"/>
        </w:rPr>
        <w:t>可步行性</w:t>
      </w:r>
      <w:r w:rsidR="00640DE9" w:rsidRPr="00640DE9">
        <w:t>”</w:t>
      </w:r>
      <w:r w:rsidR="00640DE9" w:rsidRPr="00640DE9">
        <w:rPr>
          <w:rFonts w:hint="eastAsia"/>
        </w:rPr>
        <w:t>（</w:t>
      </w:r>
      <w:r w:rsidR="00640DE9" w:rsidRPr="00640DE9">
        <w:t>Walkability</w:t>
      </w:r>
      <w:r w:rsidR="00640DE9" w:rsidRPr="00640DE9">
        <w:rPr>
          <w:rFonts w:hint="eastAsia"/>
        </w:rPr>
        <w:t>）</w:t>
      </w:r>
      <w:r w:rsidR="00CB1C97">
        <w:fldChar w:fldCharType="begin"/>
      </w:r>
      <w:r w:rsidR="00CB1C97">
        <w:instrText xml:space="preserve"> ADDIN ZOTERO_ITEM CSL_CITATION {"citationID":"RArhYCGY","properties":{"unsorted":false,"formattedCitation":"(Rossetti, 2024)","plainCitation":"(Rossetti, 2024)","noteIndex":0},"citationItems":[{"id":1675,"uris":["http://zotero.org/users/18218563/items/K9DNZ4UT"],"itemData":{"id":1675,"type":"article-journal","abstract":"Improving active mobility in settlements is one of the EU's core objectives to improve people's quality of life. EU guidelines indicate Sustainable Urban Mobility Plans (SUMPs) as strategic planning tools to achieve sustainable results through the definition of objectives and the provision of actions. Scientific research has extensively explored numerous factors in the built environment and active mobility infrastructures that influence mobility features and demands. However, a gap exists between research and urban plans employed to promote sustainable mobility. This paper examines whether these identified factors from scientific literature have implications for enhancing active mobility actions in Sustainable Urban Mobility Plans. First, a literature review highlights recurring factors in assessing active mobility networks. Then, an overview of actions supporting walkability and cyclability within Sustainable Urban Mobility Plans applied in the Emilia-Romagna Region in Italy is conducted. The two reviews comparison points out the expected implementation gap between research and practice.","citation-key":"rossetti2024","container-title":"European Transport/Trasporti Europei","DOI":"10.48295/ET.2024.97.9","ISSN":"1825-3997","issue":"97","language":"en","page":"1-11","source":"DOI.org (Crossref)","title":"How do SUMPs Consider Factors Influencing Walkability and Cyclability? A Review of Literature and Planning Tools","title-short":"How do SUMPs Consider Factors Influencing Walkability and Cyclability?","author":[{"family":"Rossetti","given":"Silvia"}],"issued":{"date-parts":[["2024",5]]}}}],"schema":"https://github.com/citation-style-language/schema/raw/master/csl-citation.json"} </w:instrText>
      </w:r>
      <w:r w:rsidR="00CB1C97">
        <w:fldChar w:fldCharType="separate"/>
      </w:r>
      <w:r w:rsidR="00CB1C97">
        <w:rPr>
          <w:noProof/>
        </w:rPr>
        <w:t>(Rossetti, 2024)</w:t>
      </w:r>
      <w:r w:rsidR="00CB1C97">
        <w:fldChar w:fldCharType="end"/>
      </w:r>
      <w:r w:rsidR="00640DE9" w:rsidRPr="00640DE9">
        <w:rPr>
          <w:rFonts w:hint="eastAsia"/>
        </w:rPr>
        <w:t>。</w:t>
      </w:r>
      <w:r w:rsidR="00E34400">
        <w:rPr>
          <w:rFonts w:hint="eastAsia"/>
        </w:rPr>
        <w:t>可步行性研究较早建立了利用建成环境（如密度、土地利用混合度与路网联通度等维度）解释慢出行行为的理论分析框架；早期的骑行研究也多直接沿用这些指标</w:t>
      </w:r>
      <w:r w:rsidR="00F30417">
        <w:fldChar w:fldCharType="begin"/>
      </w:r>
      <w:r w:rsidR="00F30417">
        <w:instrText xml:space="preserve"> ADDIN ZOTERO_ITEM CSL_CITATION {"citationID":"ytDEwSQh","properties":{"unsorted":false,"formattedCitation":"(Saelens, Sallis and Frank, 2003)","plainCitation":"(Saelens, Sallis and Frank, 2003)","noteIndex":0},"citationItems":[{"id":1680,"uris":["http://zotero.org/users/18218563/items/5SJXX3JW"],"itemData":{"id":1680,"type":"article-journal","abstract":"Research in transportation, urban design, and planning has examined associations between physical environment variables and individuals' walking and cycling for transport. Constructs, methods, and findings from these fields can be applied by physical activity and health researchers to improve understanding of environmental influences on physical activity. In this review, neighborhood environment characteristics proposed to be relevant to walking/cycling for transport are defined, including population density, connectivity, and land use mix. Neighborhood comparison and correlational studies with nonmotorized transport outcomes are considered, with evidence suggesting that residents from communities with higher density, greater connectivity, and more land use mix report higher rates of walking/cycling for utilitarian purposes than low-density, poorly connected, and single land use neighborhoods. Environmental variables appear to add to variance accounted for beyond sociodemographic predictors of walking/cycling for transport. Implications of the transportation literature for physical activity and related research are outlined. Future research directions are detailed for physical activity research to further examine the impact of neighborhood and other physical environment factors on physical activity and the potential interactive effects of psychosocial and environmental variables. The transportation, urban design, and planning literatures provide a valuable starting point for multidisciplinary research on environmental contributions to physical activity levels in the population.","citation-key":"saelens2003a","container-title":"Annals of Behavioral Medicine","DOI":"10.1207/S15324796ABM2502_03","ISSN":"0883-6612","issue":"2","journalAbbreviation":"Ann Behav Med","page":"80-91","source":"Silverchair","title":"Environmental correlates of walking and cycling: Findings from the transportation, urban design, and planning literatures","title-short":"Environmental correlates of walking and cycling","volume":"25","author":[{"family":"Saelens","given":"Brian E."},{"family":"Sallis","given":"James F."},{"family":"Frank","given":"Lawrence D."}],"issued":{"date-parts":[["2003",4,1]]}}}],"schema":"https://github.com/citation-style-language/schema/raw/master/csl-citation.json"} </w:instrText>
      </w:r>
      <w:r w:rsidR="00F30417">
        <w:fldChar w:fldCharType="separate"/>
      </w:r>
      <w:r w:rsidR="00F30417">
        <w:rPr>
          <w:noProof/>
        </w:rPr>
        <w:t>(Saelens, Sallis and Frank, 2003)</w:t>
      </w:r>
      <w:r w:rsidR="00F30417">
        <w:fldChar w:fldCharType="end"/>
      </w:r>
      <w:r w:rsidR="00E34400">
        <w:rPr>
          <w:rFonts w:hint="eastAsia"/>
        </w:rPr>
        <w:t>。</w:t>
      </w:r>
      <w:r w:rsidR="00640DE9" w:rsidRPr="00640DE9">
        <w:rPr>
          <w:rFonts w:hint="eastAsia"/>
        </w:rPr>
        <w:t>然而，骑行与步行在出行机制上存在显著差异，导致传统的可步行性指标难以直接运用于骑行环境的准确评价。首先在空间尺度上，骑行的服务半径与行程距离通常为步行的数倍，要求评价单元由微观街区尺度延伸至中观乃至宏观的城市路网；其次在移动动力学与体能消耗上，骑行者对地形坡度、路面平整度以及由信号灯引起的行程中断与节点延误更为敏感；再者在安全风险</w:t>
      </w:r>
      <w:r w:rsidR="00640DE9" w:rsidRPr="00640DE9">
        <w:rPr>
          <w:rFonts w:hint="eastAsia"/>
        </w:rPr>
        <w:lastRenderedPageBreak/>
        <w:t>结构上，骑行者常面临与机动车混行的空间博弈，速度差与冲突面积显著高于步行，使得机非隔离形态、机动车车速及交通流量成为决定骑行安全的关键变量；最后在网络连续性需求上，骑行交通具有强烈的网络依赖性，单一路段或关键交叉口的设施断点即可能导致整条骑行路径的可达性丧失</w:t>
      </w:r>
      <w:r w:rsidR="00640DE9" w:rsidRPr="00640DE9">
        <w:t>。</w:t>
      </w:r>
    </w:p>
    <w:p w14:paraId="02E16609" w14:textId="58199192" w:rsidR="00640DE9" w:rsidRPr="00640DE9" w:rsidRDefault="00640DE9" w:rsidP="00E34400">
      <w:pPr>
        <w:spacing w:after="163"/>
        <w:ind w:firstLine="420"/>
      </w:pPr>
      <w:r w:rsidRPr="00640DE9">
        <w:rPr>
          <w:rFonts w:hint="eastAsia"/>
        </w:rPr>
        <w:t>因此，骑行环境评价亟需建立一套独立的维度体系。前文所述的荷兰</w:t>
      </w:r>
      <w:r w:rsidRPr="00640DE9">
        <w:t xml:space="preserve"> CROW </w:t>
      </w:r>
      <w:r w:rsidRPr="00640DE9">
        <w:rPr>
          <w:rFonts w:hint="eastAsia"/>
        </w:rPr>
        <w:t>五项品质正是针对上述差异提出的系统化响应，因而成为构建骑行环境评价体系的核心参照基石。在既有学术研究中，</w:t>
      </w:r>
      <w:r w:rsidR="00945A67">
        <w:rPr>
          <w:rFonts w:hint="eastAsia"/>
        </w:rPr>
        <w:t>骑行品质</w:t>
      </w:r>
      <w:r w:rsidRPr="00640DE9">
        <w:rPr>
          <w:rFonts w:hint="eastAsia"/>
        </w:rPr>
        <w:t>通常被定义为建成环境支持、吸引并保障骑行活动的综合能力与适宜程度</w:t>
      </w:r>
      <w:r w:rsidRPr="00640DE9">
        <w:t>[</w:t>
      </w:r>
      <w:r w:rsidR="00654893" w:rsidRPr="00654893">
        <w:rPr>
          <w:rFonts w:hint="eastAsia"/>
        </w:rPr>
        <w:t>需要</w:t>
      </w:r>
      <w:r w:rsidR="00654893">
        <w:rPr>
          <w:rFonts w:hint="eastAsia"/>
        </w:rPr>
        <w:t>引用</w:t>
      </w:r>
      <w:r w:rsidR="00654893">
        <w:rPr>
          <w:rFonts w:hint="eastAsia"/>
        </w:rPr>
        <w:t>]</w:t>
      </w:r>
      <w:r w:rsidRPr="00640DE9">
        <w:rPr>
          <w:rFonts w:hint="eastAsia"/>
        </w:rPr>
        <w:t>。</w:t>
      </w:r>
      <w:r w:rsidRPr="00640DE9">
        <w:t xml:space="preserve">CROW </w:t>
      </w:r>
      <w:r w:rsidRPr="00640DE9">
        <w:rPr>
          <w:rFonts w:hint="eastAsia"/>
        </w:rPr>
        <w:t>框架在工程实践中承担着设定建设目标与评估实施成效的功能，而</w:t>
      </w:r>
      <w:r w:rsidR="00945A67">
        <w:rPr>
          <w:rFonts w:hint="eastAsia"/>
        </w:rPr>
        <w:t>骑行品质</w:t>
      </w:r>
      <w:r w:rsidRPr="00640DE9">
        <w:rPr>
          <w:rFonts w:hint="eastAsia"/>
        </w:rPr>
        <w:t>研究则进一步将这些设计原则操作化为可基于空间数据进行精准测度的定量指标，从而实现了从</w:t>
      </w:r>
      <w:r w:rsidRPr="00640DE9">
        <w:t>“</w:t>
      </w:r>
      <w:r w:rsidRPr="00640DE9">
        <w:rPr>
          <w:rFonts w:hint="eastAsia"/>
        </w:rPr>
        <w:t>宏观设计原则</w:t>
      </w:r>
      <w:r w:rsidRPr="00640DE9">
        <w:t>”</w:t>
      </w:r>
      <w:r w:rsidRPr="00640DE9">
        <w:rPr>
          <w:rFonts w:hint="eastAsia"/>
        </w:rPr>
        <w:t>向</w:t>
      </w:r>
      <w:r w:rsidRPr="00640DE9">
        <w:t>“</w:t>
      </w:r>
      <w:r w:rsidRPr="00640DE9">
        <w:rPr>
          <w:rFonts w:hint="eastAsia"/>
        </w:rPr>
        <w:t>微观</w:t>
      </w:r>
      <w:r w:rsidRPr="00640DE9">
        <w:t>/</w:t>
      </w:r>
      <w:r w:rsidRPr="00640DE9">
        <w:rPr>
          <w:rFonts w:hint="eastAsia"/>
        </w:rPr>
        <w:t>中观路网空间质量评估</w:t>
      </w:r>
      <w:r w:rsidRPr="00640DE9">
        <w:t>”</w:t>
      </w:r>
      <w:r w:rsidRPr="00640DE9">
        <w:rPr>
          <w:rFonts w:hint="eastAsia"/>
        </w:rPr>
        <w:t>的范式转换</w:t>
      </w:r>
      <w:r w:rsidRPr="00640DE9">
        <w:t>。</w:t>
      </w:r>
    </w:p>
    <w:p w14:paraId="084E9AFE" w14:textId="5AC4262F" w:rsidR="00314AED" w:rsidRDefault="00E25BEA" w:rsidP="0040275E">
      <w:pPr>
        <w:pStyle w:val="Heading2"/>
        <w:numPr>
          <w:ilvl w:val="0"/>
          <w:numId w:val="0"/>
        </w:numPr>
        <w:spacing w:after="65"/>
        <w:rPr>
          <w:lang w:val="en-GB"/>
        </w:rPr>
      </w:pPr>
      <w:r>
        <w:rPr>
          <w:rFonts w:hint="eastAsia"/>
        </w:rPr>
        <w:t>2.</w:t>
      </w:r>
      <w:r>
        <w:t xml:space="preserve">2 </w:t>
      </w:r>
      <w:r w:rsidR="00945A67">
        <w:rPr>
          <w:rFonts w:hint="eastAsia"/>
        </w:rPr>
        <w:t>骑行品质</w:t>
      </w:r>
      <w:r>
        <w:rPr>
          <w:rFonts w:hint="eastAsia"/>
        </w:rPr>
        <w:t>的构成维度</w:t>
      </w:r>
    </w:p>
    <w:p w14:paraId="1F3A2E81" w14:textId="45FD57AA" w:rsidR="0040275E" w:rsidRPr="0040275E" w:rsidRDefault="0040275E" w:rsidP="0040275E">
      <w:pPr>
        <w:spacing w:after="163"/>
        <w:ind w:firstLine="420"/>
        <w:rPr>
          <w:lang w:val="en-GB"/>
        </w:rPr>
      </w:pPr>
      <w:r>
        <w:rPr>
          <w:lang w:val="en-GB"/>
        </w:rPr>
        <w:t>[</w:t>
      </w:r>
      <w:r>
        <w:rPr>
          <w:rFonts w:hint="eastAsia"/>
          <w:lang w:val="en-GB"/>
        </w:rPr>
        <w:t>五维度具体由何指标构成，从两地</w:t>
      </w:r>
      <w:r>
        <w:rPr>
          <w:rFonts w:hint="eastAsia"/>
          <w:lang w:val="en-GB"/>
        </w:rPr>
        <w:t>bikeability</w:t>
      </w:r>
      <w:r>
        <w:rPr>
          <w:rFonts w:hint="eastAsia"/>
          <w:lang w:val="en-GB"/>
        </w:rPr>
        <w:t>研究中整理</w:t>
      </w:r>
      <w:r>
        <w:rPr>
          <w:rFonts w:hint="eastAsia"/>
          <w:lang w:val="en-GB"/>
        </w:rPr>
        <w:t>]</w:t>
      </w:r>
      <w:r w:rsidR="00B512F2">
        <w:rPr>
          <w:rFonts w:hint="eastAsia"/>
          <w:lang w:val="en-GB"/>
        </w:rPr>
        <w:t xml:space="preserve"> </w:t>
      </w:r>
      <w:ins w:id="6" w:author="pippin hsu" w:date="2026-10-10T10:41:00Z" w16du:dateUtc="2026-10-10T02:41:00Z">
        <w:r w:rsidR="00B512F2">
          <w:rPr>
            <w:rFonts w:hint="eastAsia"/>
            <w:lang w:val="en-GB"/>
          </w:rPr>
          <w:t>上海五维度与伦敦五维度</w:t>
        </w:r>
      </w:ins>
    </w:p>
    <w:p w14:paraId="551665B4" w14:textId="585F0480" w:rsidR="00E25BEA" w:rsidRPr="00E25BEA" w:rsidRDefault="00E25BEA" w:rsidP="00E25BEA">
      <w:pPr>
        <w:pStyle w:val="Heading2"/>
        <w:numPr>
          <w:ilvl w:val="0"/>
          <w:numId w:val="0"/>
        </w:numPr>
        <w:spacing w:after="65"/>
      </w:pPr>
      <w:r>
        <w:rPr>
          <w:rFonts w:hint="eastAsia"/>
        </w:rPr>
        <w:t xml:space="preserve">2.3 </w:t>
      </w:r>
      <w:r>
        <w:rPr>
          <w:rFonts w:hint="eastAsia"/>
        </w:rPr>
        <w:t>骑行</w:t>
      </w:r>
      <w:ins w:id="7" w:author="pippin hsu" w:date="2026-10-09T11:07:00Z" w16du:dateUtc="2026-10-09T03:07:00Z">
        <w:r w:rsidR="00B00192">
          <w:rPr>
            <w:rFonts w:hint="eastAsia"/>
          </w:rPr>
          <w:t>品质</w:t>
        </w:r>
      </w:ins>
      <w:del w:id="8" w:author="pippin hsu" w:date="2026-10-09T11:06:00Z" w16du:dateUtc="2026-10-09T03:06:00Z">
        <w:r w:rsidDel="00B00192">
          <w:rPr>
            <w:rFonts w:hint="eastAsia"/>
          </w:rPr>
          <w:delText>环境质量</w:delText>
        </w:r>
      </w:del>
      <w:r>
        <w:rPr>
          <w:rFonts w:hint="eastAsia"/>
        </w:rPr>
        <w:t>在规划中的用途</w:t>
      </w:r>
    </w:p>
    <w:p w14:paraId="4B9957AD" w14:textId="2C4ECB99" w:rsidR="00E25BEA" w:rsidRDefault="00945A67" w:rsidP="00B47E75">
      <w:pPr>
        <w:spacing w:after="163"/>
        <w:ind w:firstLine="420"/>
      </w:pPr>
      <w:r>
        <w:t>骑行品质</w:t>
      </w:r>
      <w:r w:rsidR="00A05D74">
        <w:t>评价不仅是空间诊断的理论工具，更是连接评估模型与规划决策的重要桥梁。在城市与</w:t>
      </w:r>
      <w:r w:rsidR="00314AED">
        <w:rPr>
          <w:rFonts w:hint="eastAsia"/>
        </w:rPr>
        <w:t>骑行</w:t>
      </w:r>
      <w:r w:rsidR="00A05D74">
        <w:t>交通规划实践中，</w:t>
      </w:r>
      <w:r>
        <w:rPr>
          <w:rFonts w:hint="eastAsia"/>
        </w:rPr>
        <w:t>骑行品质</w:t>
      </w:r>
      <w:r w:rsidR="00A05D74">
        <w:t>评价具有多维度的应用价值：在现状诊断层面，通过在路段、网格或交通小区尺度开展测度，能够对既有骑行网络进行系统的</w:t>
      </w:r>
      <w:r w:rsidR="00A05D74">
        <w:t>“</w:t>
      </w:r>
      <w:r w:rsidR="00A05D74">
        <w:t>空间审计</w:t>
      </w:r>
      <w:r w:rsidR="00A05D74">
        <w:t>”</w:t>
      </w:r>
      <w:r w:rsidR="00A05D74">
        <w:t>，精准识别网络断点、低品质瓶颈路段以及高风险交汇节点，为</w:t>
      </w:r>
      <w:r w:rsidR="00314AED">
        <w:rPr>
          <w:rFonts w:hint="eastAsia"/>
        </w:rPr>
        <w:t>骑行</w:t>
      </w:r>
      <w:r w:rsidR="00A05D74">
        <w:t>系统的精细化改造与精准干预提供空间依据</w:t>
      </w:r>
      <w:r w:rsidR="00B47E75">
        <w:rPr>
          <w:rFonts w:hint="eastAsia"/>
        </w:rPr>
        <w:t xml:space="preserve"> </w:t>
      </w:r>
      <w:r w:rsidR="00A05D74">
        <w:t>；在决策支持层面，在公共财政预算受限的约束下，</w:t>
      </w:r>
      <w:r>
        <w:t>骑行品质</w:t>
      </w:r>
      <w:r w:rsidR="00A05D74">
        <w:t>指数可用于评估不同干预方案（如增设机非物理隔离、优化交叉口渠化、降低机动车限速）对网络综合品质的边际提升幅度，为规划部门制定设施建设与资金投放的优先级顺序提供定量比选依据</w:t>
      </w:r>
      <w:r w:rsidR="008D3A64" w:rsidRPr="00B47E75">
        <w:rPr>
          <w:rFonts w:hint="eastAsia"/>
        </w:rPr>
        <w:t xml:space="preserve"> </w:t>
      </w:r>
      <w:r w:rsidR="008D3A64" w:rsidRPr="00B47E75">
        <w:fldChar w:fldCharType="begin"/>
      </w:r>
      <w:r w:rsidR="008D3A64" w:rsidRPr="00B47E75">
        <w:instrText xml:space="preserve"> ADDIN ZOTERO_ITEM CSL_CITATION {"citationID":"zX6iPKC1","properties":{"unsorted":false,"formattedCitation":"(Arellana {\\i{}et al.}, 2020)","plainCitation":"(Arellana et al., 2020)","noteIndex":0},"citationItems":[{"id":1665,"uris":["http://zotero.org/users/18218563/items/XKMXGKKV"],"itemData":{"id":1665,"type":"article-journal","abstract":"This study proposes an urban Bikeability Index (BI) to assess and prioritise bicycle infrastructure investments, and in turn, improve accessibility for cyclists. The contribution of this paper is twofold. First, we construct a BI that addresses particularities of the roads in cities of the Global South and considers the preferences, perceptions and socioeconomic characteristics by type of cyclist. Second, a tool is developed for decision-makers to prioritise investments in bicycle infrastructure, considering the estimated BI and expected cyclist flows. The methodology is structured into two stages. The first stage constructs a new BI following three steps. First, we select the most important factors and components related to biking behaviour. Second, we estimate weights for selected factors and components by using a discrete choice model to analyse users’ perceptions based on results from ranking surveys. Third, we estimate the BI by type of cyclist as a weighted additive function, which are equivalent to the probabilities calculated using the discrete choice model. The second stage proposes a direct demand model to prioritise bicycle infrastructure investments based on the estimation of BIs, and expected flows of cyclists. We applied the methodology to Barranquilla, Colombia and ranked different bicycle infrastructure investments for increasing bicycle demand in the city. The results suggest that even though primary roads are currently associated with low BI values due to high rates of road accidents, they tend to be preferred by cyclists. The presence of adequate bicycle infrastructure is the most crucial factor for people who frequently cycle for sport, while traffic safety and security are the most critical factors for those who cycle to work.","citation-key":"arellana2020","container-title":"Transportation Research Part A: Policy and Practice","DOI":"10.1016/j.tra.2020.07.010","ISSN":"0965-8564","journalAbbreviation":"Transportation Research Part A: Policy and Practice","page":"310-334","source":"ScienceDirect","title":"Developing an urban bikeability index for different types of cyclists as a tool to prioritise bicycle infrastructure investments","volume":"139","author":[{"family":"Arellana","given":"Julián"},{"family":"Saltarín","given":"María"},{"family":"Larrañaga","given":"Ana Margarita"},{"family":"González","given":"Virginia I."},{"family":"Henao","given":"César Augusto"}],"issued":{"date-parts":[["2020",9,1]]}}}],"schema":"https://github.com/citation-style-language/schema/raw/master/csl-citation.json"} </w:instrText>
      </w:r>
      <w:r w:rsidR="008D3A64" w:rsidRPr="00B47E75">
        <w:fldChar w:fldCharType="separate"/>
      </w:r>
      <w:r w:rsidR="008D3A64" w:rsidRPr="00B47E75">
        <w:t>(Arellana et al., 2020)</w:t>
      </w:r>
      <w:r w:rsidR="008D3A64" w:rsidRPr="00B47E75">
        <w:fldChar w:fldCharType="end"/>
      </w:r>
      <w:r w:rsidR="00A05D74">
        <w:t>；在治理绩效层面，将</w:t>
      </w:r>
      <w:r>
        <w:rPr>
          <w:rFonts w:hint="eastAsia"/>
        </w:rPr>
        <w:t>骑行品质</w:t>
      </w:r>
      <w:r w:rsidR="00A05D74">
        <w:t>的空间分布特征与人口人口学及社会经济属性叠加，能够评估骑行基础设施在不同地理区域与社会群体间的分配公平性</w:t>
      </w:r>
      <w:r w:rsidR="00B47E75">
        <w:rPr>
          <w:rFonts w:hint="eastAsia"/>
        </w:rPr>
        <w:t xml:space="preserve"> </w:t>
      </w:r>
      <w:r w:rsidR="00B47E75">
        <w:fldChar w:fldCharType="begin"/>
      </w:r>
      <w:r w:rsidR="00B47E75">
        <w:instrText xml:space="preserve"> ADDIN ZOTERO_ITEM CSL_CITATION {"citationID":"m8xf6X3z","properties":{"unsorted":false,"formattedCitation":"(Braun, Rodriguez and Gordon-Larsen, 2019)","plainCitation":"(Braun, Rodriguez and Gordon-Larsen, 2019)","noteIndex":0},"citationItems":[{"id":1667,"uris":["http://zotero.org/users/18218563/items/46YHHJ4Q"],"itemData":{"id":1667,"type":"article-journal","abstract":"Cycling advocates have recently argued that low-income and minority communities across the U.S. have disproportionately low access to bike lanes. To date, however, quantitative evidence of disparities in access to bike lanes has been limited to a small number of cities. We addressed this research gap by examining cross-sectional associations between bike lanes and sociodemographic characteristics at the block group level for 22 large U.S. cities (n = 21,843 block groups). Dependent variables included the presence (yes/no), coverage, connectivity, and proximity of bike lanes, measured using secondary GIS data collected by each of the 22 cities between 2012 and 2016. Primary independent variables included indicators of race, ethnicity, educational attainment, income, poverty, and a composite socioeconomic status (SES) index, all measured using data from the 2011–2015 American Community Survey. We used linear and logistic multilevel mixed-effects regression models to estimate associations between these sociodemographic characteristics and each bike lane dependent variable, before and after adjusting for traditional indicators of cycling demand (population and employment density, distance to downtown, population age structure, bicycle commuting levels). In unadjusted associations, disadvantaged block groups (i.e. lower SES, higher proportions of minority residents) had significantly lower access to bike lanes. After adjusting for indicators of cycling demand, access to bike lanes was lower in block groups with particular types of disadvantage (lower educational attainment, higher proportions of Hispanic residents, lower composite SES) but not in those with other types of disadvantage (higher proportions of black residents, lower income, higher poverty). These results provide empirical support for advocates' claims of disparities in bike lane access, suggesting the importance of more closely considering social equity in bicycle planning and advocacy.","citation-key":"braun2019","container-title":"Journal of Transport Geography","DOI":"10.1016/j.jtrangeo.2019.102544","ISSN":"0966-6923","journalAbbreviation":"Journal of Transport Geography","page":"102544","source":"ScienceDirect","title":"Social (in)equity in access to cycling infrastructure: Cross-sectional associations between bike lanes and area-level sociodemographic characteristics in 22 large U.S. cities","title-short":"Social (in)equity in access to cycling infrastructure","volume":"80","author":[{"family":"Braun","given":"Lindsay M."},{"family":"Rodriguez","given":"Daniel A."},{"family":"Gordon-Larsen","given":"Penny"}],"issued":{"date-parts":[["2019",10,1]]}}}],"schema":"https://github.com/citation-style-language/schema/raw/master/csl-citation.json"} </w:instrText>
      </w:r>
      <w:r w:rsidR="00B47E75">
        <w:fldChar w:fldCharType="separate"/>
      </w:r>
      <w:r w:rsidR="00B47E75">
        <w:t>(Braun, Rodriguez and Gordon-Larsen, 2019)</w:t>
      </w:r>
      <w:r w:rsidR="00B47E75">
        <w:fldChar w:fldCharType="end"/>
      </w:r>
      <w:r w:rsidR="00A05D74">
        <w:t>，并通过在设施建成后实施定期重复评价与流量追踪，验证公共投资是否有效改善了骑行环境与出行意愿；此外，在跨语境比较层面，基于统一维度构建的评估框架为不同数据条件下的城市间对比提供了可行路径，即便各城市空间数据粒度存在差异，只要具体指标能够逻辑映射至相同的核心品质维度，即可在维度层面开展系统性的短板诊断与优势对比，进而为跨城市间的政策借鉴与经验迁移提供科学依据</w:t>
      </w:r>
      <w:r w:rsidR="0086307E" w:rsidRPr="00B47E75">
        <w:t xml:space="preserve"> </w:t>
      </w:r>
      <w:r w:rsidR="0086307E">
        <w:fldChar w:fldCharType="begin"/>
      </w:r>
      <w:r w:rsidR="0086307E">
        <w:instrText xml:space="preserve"> ADDIN ZOTERO_ITEM CSL_CITATION {"citationID":"Aed6vFzu","properties":{"unsorted":false,"formattedCitation":"(Kellstedt {\\i{}et al.}, 2021)","plainCitation":"(Kellstedt et al., 2021)","noteIndex":0},"citationItems":[{"id":1663,"uris":["http://zotero.org/users/18218563/items/STR49GG7"],"itemData":{"id":1663,"type":"article-journal","abstract":"Bicycling holds promise as a healthy and sustainable means of transportation and physical activity. Despite the growing interest in community-based environmental approaches to promoting physical activity, bikeability has received relatively little attention. This paper provides a scoping review of the instruments developed to measure bikeability along with practice-based analyses of the tools related to user expertise, estimated cost, and required time to implement. The review summarizes the literature, identifies research gaps, and informs stakeholders with articles from EBSCO and transportation databases published after 2003 when the previous bikeability instrument review paper was published. Data extraction included the tool name, data collection method, study location, data collection scale, type of measure, and description. Two reviewers independently reviewed articles included in the full text review, and the inter-rater agreement exceeded 90%. The database search yielded 388 unique articles, and 17 met the inclusion/exclusion criteria. Most of the studies, 11 of 17, were applied to settings outside of the U.S. Five studies employed a self-report survey, and five studies examined bikeability using geospatial data, like GIS. Seven studies used a direct observation audit tool—one specifically using a mobile app and another using virtual observation techniques with Google Street View. Bikeability tools are useful for assessing communities and their supports for bicycling. Our primary finding is that advances in technology over the past two decades have driven innovative and useful methodologies, in a variety of disciplines, for assessing the environment, but more consensus is needed to provide a universal definition of bikeability.","citation-key":"kellstedt2021","container-title":"Journal of Community Health","DOI":"10.1007/s10900-020-00846-4","ISSN":"1573-3610","issue":"1","journalAbbreviation":"J Community Health","language":"en","page":"211-224","source":"Springer Link","title":"A Scoping Review of Bikeability Assessment Methods","volume":"46","author":[{"family":"Kellstedt","given":"Debra K."},{"family":"Spengler","given":"John O."},{"family":"Foster","given":"Margaret"},{"family":"Lee","given":"Chanam"},{"family":"Maddock","given":"Jay E."}],"issued":{"date-parts":[["2021",2,1]]}}}],"schema":"https://github.com/citation-style-language/schema/raw/master/csl-citation.json"} </w:instrText>
      </w:r>
      <w:r w:rsidR="0086307E">
        <w:fldChar w:fldCharType="separate"/>
      </w:r>
      <w:r w:rsidR="0086307E" w:rsidRPr="00B47E75">
        <w:t>(Kellstedt et al., 2021)</w:t>
      </w:r>
      <w:r w:rsidR="0086307E">
        <w:fldChar w:fldCharType="end"/>
      </w:r>
      <w:r w:rsidR="00A05D74" w:rsidRPr="00B47E75">
        <w:rPr>
          <w:rFonts w:hint="eastAsia"/>
        </w:rPr>
        <w:t>。</w:t>
      </w:r>
    </w:p>
    <w:p w14:paraId="45E554DF" w14:textId="1CA1643B" w:rsidR="0040275E" w:rsidRPr="00945A67" w:rsidRDefault="0040275E" w:rsidP="00597030">
      <w:pPr>
        <w:pStyle w:val="Heading2"/>
        <w:numPr>
          <w:ilvl w:val="0"/>
          <w:numId w:val="0"/>
        </w:numPr>
        <w:spacing w:after="65"/>
        <w:rPr>
          <w:rFonts w:hint="eastAsia"/>
          <w:lang w:val="en-GB"/>
        </w:rPr>
      </w:pPr>
      <w:r>
        <w:t xml:space="preserve">3 </w:t>
      </w:r>
      <w:r w:rsidR="00945A67">
        <w:rPr>
          <w:rFonts w:hint="eastAsia"/>
        </w:rPr>
        <w:t>研究对象与两类评价方法</w:t>
      </w:r>
    </w:p>
    <w:p w14:paraId="09F5CF26" w14:textId="1CA68493" w:rsidR="0040275E" w:rsidRDefault="0040275E" w:rsidP="00597030">
      <w:pPr>
        <w:pStyle w:val="Heading2"/>
        <w:numPr>
          <w:ilvl w:val="0"/>
          <w:numId w:val="0"/>
        </w:numPr>
        <w:spacing w:after="65"/>
      </w:pPr>
      <w:r>
        <w:t xml:space="preserve">3.1 </w:t>
      </w:r>
      <w:r w:rsidR="00945A67">
        <w:rPr>
          <w:rFonts w:hint="eastAsia"/>
        </w:rPr>
        <w:t>研究对象的选取</w:t>
      </w:r>
    </w:p>
    <w:p w14:paraId="357F61F7" w14:textId="2868F84F" w:rsidR="00945A67" w:rsidRDefault="00945A67" w:rsidP="00945A67">
      <w:pPr>
        <w:pStyle w:val="NormalWeb"/>
        <w:spacing w:after="163"/>
        <w:ind w:firstLine="420"/>
        <w:rPr>
          <w:rFonts w:cstheme="minorBidi"/>
          <w:sz w:val="21"/>
          <w:szCs w:val="22"/>
          <w:lang w:val="en-GB"/>
        </w:rPr>
      </w:pPr>
      <w:r w:rsidRPr="00945A67">
        <w:rPr>
          <w:rFonts w:cstheme="minorBidi" w:hint="eastAsia"/>
          <w:sz w:val="21"/>
          <w:szCs w:val="22"/>
        </w:rPr>
        <w:t>本文选择上海与伦敦内城作为比较对象，主要基于以下三个维度的考量。</w:t>
      </w:r>
      <w:r w:rsidRPr="00945A67">
        <w:rPr>
          <w:rFonts w:cstheme="minorBidi" w:hint="eastAsia"/>
          <w:sz w:val="21"/>
          <w:szCs w:val="22"/>
        </w:rPr>
        <w:t>首先，两城在骑行环境评价所依赖的数据条件上形成鲜明对照。伦敦拥有较为完整</w:t>
      </w:r>
      <w:r w:rsidR="0097270E">
        <w:rPr>
          <w:rFonts w:cstheme="minorBidi" w:hint="eastAsia"/>
          <w:sz w:val="21"/>
          <w:szCs w:val="22"/>
        </w:rPr>
        <w:t>精细</w:t>
      </w:r>
      <w:r w:rsidRPr="00945A67">
        <w:rPr>
          <w:rFonts w:cstheme="minorBidi" w:hint="eastAsia"/>
          <w:sz w:val="21"/>
          <w:szCs w:val="22"/>
        </w:rPr>
        <w:t>的路网与设施数据（如</w:t>
      </w:r>
      <w:r w:rsidRPr="00945A67">
        <w:rPr>
          <w:rFonts w:cstheme="minorBidi"/>
          <w:sz w:val="21"/>
          <w:szCs w:val="22"/>
        </w:rPr>
        <w:t xml:space="preserve"> </w:t>
      </w:r>
      <w:r w:rsidR="004E062B">
        <w:rPr>
          <w:rFonts w:cstheme="minorBidi"/>
          <w:sz w:val="21"/>
          <w:szCs w:val="22"/>
          <w:lang w:val="en-GB"/>
        </w:rPr>
        <w:t>Ordnance Survey</w:t>
      </w:r>
      <w:r w:rsidR="004E062B">
        <w:rPr>
          <w:rFonts w:cstheme="minorBidi" w:hint="eastAsia"/>
          <w:sz w:val="21"/>
          <w:szCs w:val="22"/>
          <w:lang w:val="en-GB"/>
        </w:rPr>
        <w:t>、</w:t>
      </w:r>
      <w:bookmarkStart w:id="9" w:name="_Hlk242517895"/>
      <w:r w:rsidRPr="00945A67">
        <w:rPr>
          <w:rFonts w:cstheme="minorBidi" w:hint="eastAsia"/>
          <w:sz w:val="21"/>
          <w:szCs w:val="22"/>
        </w:rPr>
        <w:t>伦敦骑行设施数据库</w:t>
      </w:r>
      <w:r w:rsidRPr="00945A67">
        <w:rPr>
          <w:rFonts w:cstheme="minorBidi"/>
          <w:sz w:val="21"/>
          <w:szCs w:val="22"/>
        </w:rPr>
        <w:t xml:space="preserve"> </w:t>
      </w:r>
      <w:r w:rsidR="008B200A">
        <w:rPr>
          <w:rFonts w:cstheme="minorBidi" w:hint="eastAsia"/>
          <w:sz w:val="21"/>
          <w:szCs w:val="22"/>
        </w:rPr>
        <w:t>（</w:t>
      </w:r>
      <w:r w:rsidRPr="00945A67">
        <w:rPr>
          <w:rFonts w:cstheme="minorBidi"/>
          <w:sz w:val="21"/>
          <w:szCs w:val="22"/>
        </w:rPr>
        <w:t>CID</w:t>
      </w:r>
      <w:bookmarkEnd w:id="9"/>
      <w:r w:rsidR="008B200A">
        <w:rPr>
          <w:rFonts w:cstheme="minorBidi" w:hint="eastAsia"/>
          <w:sz w:val="21"/>
          <w:szCs w:val="22"/>
        </w:rPr>
        <w:t>）</w:t>
      </w:r>
      <w:r w:rsidR="0097270E">
        <w:rPr>
          <w:rFonts w:cstheme="minorBidi" w:hint="eastAsia"/>
          <w:sz w:val="21"/>
          <w:szCs w:val="22"/>
        </w:rPr>
        <w:t>、</w:t>
      </w:r>
      <w:r w:rsidR="0097270E">
        <w:rPr>
          <w:rFonts w:cstheme="minorBidi"/>
          <w:sz w:val="21"/>
          <w:szCs w:val="22"/>
          <w:lang w:val="en-GB"/>
        </w:rPr>
        <w:t>OpenStreetMap</w:t>
      </w:r>
      <w:r w:rsidRPr="00945A67">
        <w:rPr>
          <w:rFonts w:cstheme="minorBidi" w:hint="eastAsia"/>
          <w:sz w:val="21"/>
          <w:szCs w:val="22"/>
        </w:rPr>
        <w:t>），且多指标指数方法已有公开发表文献可供</w:t>
      </w:r>
      <w:r w:rsidRPr="00945A67">
        <w:rPr>
          <w:rFonts w:cstheme="minorBidi" w:hint="eastAsia"/>
          <w:sz w:val="21"/>
          <w:szCs w:val="22"/>
        </w:rPr>
        <w:lastRenderedPageBreak/>
        <w:t>校核</w:t>
      </w:r>
      <w:r w:rsidR="004E062B">
        <w:rPr>
          <w:rFonts w:cstheme="minorBidi"/>
          <w:sz w:val="21"/>
          <w:szCs w:val="22"/>
        </w:rPr>
        <w:fldChar w:fldCharType="begin"/>
      </w:r>
      <w:r w:rsidR="004E062B">
        <w:rPr>
          <w:rFonts w:cstheme="minorBidi"/>
          <w:sz w:val="21"/>
          <w:szCs w:val="22"/>
        </w:rPr>
        <w:instrText xml:space="preserve"> ADDIN ZOTERO_ITEM CSL_CITATION {"citationID":"GTQwmjH1","properties":{"unsorted":false,"formattedCitation":"(Fevyer, Furlong and Aldred, 2026)","plainCitation":"(Fevyer, Furlong and Aldred, 2026)","noteIndex":0},"citationItems":[{"id":1653,"uris":["http://zotero.org/users/18218563/items/C7E45TD2"],"itemData":{"id":1653,"type":"article-journal","abstract":"Increasingly, researchers are exploring how multiple factors affect the quality of the cycling environment (here “cyclability”), relating this to perceptions of cycling, to route choices, and/or to cycling levels. This recognises the impact the many built environmental characteristics have on experiences and levels of cycling, beyond the presence of infrastructure such as cycle tracks. For instance, the accessibility of local services is likely to be important for utility cycling, which involves specific destinations, while the ability to cycle through greenspace may be important both for utility and for more leisure-focused cycling. In this paper, we conduct a multi-factor analysis of cyclability across Greater London, a megacity of 9 million people. Our cyclability measure is calculated at small-area level using ten-minute travel-time polygons. It combines the local prevalence of cycling infrastructure, green pathways, neighbourhood roads, cycling facilities and service accessibility. After calculating cyclability across Greater London, we use survey data from several thousand Outer London residents to examine associations between the cyclability of respondents' residential locations, their self-reported cycling participation and views on the local cycling environment. This allows us to explore the extent to which our measure of cyclability, and its components, predict both cycling participation and subjective assessments of cyclability. The pan-London analysis shows substantial differences across the city related both to individual components and the resultant score, illustrating spatial disparities in the quality of the cycling environment. The survey analysis finds that living within higher scoring isochrones is associated with a higher likelihood of participation in cycling and more positive views of the local cycling environment, with past-week cycling predicted better than past-year cycling. However, predictors of cycling perceptions differ from predictors of participation. Policy-makers can use such methods to explore and address inequalities in cycling provision, which in London are substantial and correlated with perceptions and with participation.","citation-key":"fevyer2026","container-title":"Journal of Transport Geography","DOI":"10.1016/j.jtrangeo.2025.104509","ISSN":"0966-6923","journalAbbreviation":"Journal of Transport Geography","page":"104509","source":"ScienceDirect","title":"Cyclability in London: Associations between the quality of the local cycling environment, cycling participation, and perceptions of the cycling environment","title-short":"Cyclability in London","volume":"131","author":[{"family":"Fevyer","given":"David"},{"family":"Furlong","given":"Jamie"},{"family":"Aldred","given":"Rachel"}],"issued":{"date-parts":[["2026",2,1]]}}}],"schema":"https://github.com/citation-style-language/schema/raw/master/csl-citation.json"} </w:instrText>
      </w:r>
      <w:r w:rsidR="004E062B">
        <w:rPr>
          <w:rFonts w:cstheme="minorBidi"/>
          <w:sz w:val="21"/>
          <w:szCs w:val="22"/>
        </w:rPr>
        <w:fldChar w:fldCharType="separate"/>
      </w:r>
      <w:r w:rsidR="004E062B">
        <w:rPr>
          <w:rFonts w:cstheme="minorBidi"/>
          <w:noProof/>
          <w:sz w:val="21"/>
          <w:szCs w:val="22"/>
        </w:rPr>
        <w:t>(Fevyer, Furlong and Aldred, 2026)</w:t>
      </w:r>
      <w:r w:rsidR="004E062B">
        <w:rPr>
          <w:rFonts w:cstheme="minorBidi"/>
          <w:sz w:val="21"/>
          <w:szCs w:val="22"/>
        </w:rPr>
        <w:fldChar w:fldCharType="end"/>
      </w:r>
      <w:r w:rsidRPr="00945A67">
        <w:rPr>
          <w:rFonts w:cstheme="minorBidi" w:hint="eastAsia"/>
          <w:sz w:val="21"/>
          <w:szCs w:val="22"/>
        </w:rPr>
        <w:t>；相比之下，上海的开放路网数据中非机动车设施信息尚不完整，但街景影像与兴趣点（</w:t>
      </w:r>
      <w:r w:rsidRPr="00945A67">
        <w:rPr>
          <w:rFonts w:cstheme="minorBidi"/>
          <w:sz w:val="21"/>
          <w:szCs w:val="22"/>
        </w:rPr>
        <w:t>POI</w:t>
      </w:r>
      <w:r w:rsidRPr="00945A67">
        <w:rPr>
          <w:rFonts w:cstheme="minorBidi" w:hint="eastAsia"/>
          <w:sz w:val="21"/>
          <w:szCs w:val="22"/>
        </w:rPr>
        <w:t>）数据覆盖密集，目前已形成基于街景与大模型的感知评价成果。两城分别代表了</w:t>
      </w:r>
      <w:r w:rsidRPr="00945A67">
        <w:rPr>
          <w:rFonts w:cstheme="minorBidi"/>
          <w:sz w:val="21"/>
          <w:szCs w:val="22"/>
        </w:rPr>
        <w:t>“</w:t>
      </w:r>
      <w:r w:rsidRPr="00945A67">
        <w:rPr>
          <w:rFonts w:cstheme="minorBidi" w:hint="eastAsia"/>
          <w:sz w:val="21"/>
          <w:szCs w:val="22"/>
        </w:rPr>
        <w:t>以客观设施数据为主</w:t>
      </w:r>
      <w:r w:rsidRPr="00945A67">
        <w:rPr>
          <w:rFonts w:cstheme="minorBidi"/>
          <w:sz w:val="21"/>
          <w:szCs w:val="22"/>
        </w:rPr>
        <w:t>”</w:t>
      </w:r>
      <w:r w:rsidRPr="00945A67">
        <w:rPr>
          <w:rFonts w:cstheme="minorBidi" w:hint="eastAsia"/>
          <w:sz w:val="21"/>
          <w:szCs w:val="22"/>
        </w:rPr>
        <w:t>与</w:t>
      </w:r>
      <w:r w:rsidRPr="00945A67">
        <w:rPr>
          <w:rFonts w:cstheme="minorBidi"/>
          <w:sz w:val="21"/>
          <w:szCs w:val="22"/>
        </w:rPr>
        <w:t>“</w:t>
      </w:r>
      <w:r w:rsidRPr="00945A67">
        <w:rPr>
          <w:rFonts w:cstheme="minorBidi" w:hint="eastAsia"/>
          <w:sz w:val="21"/>
          <w:szCs w:val="22"/>
        </w:rPr>
        <w:t>以街景影像为主</w:t>
      </w:r>
      <w:r w:rsidRPr="00945A67">
        <w:rPr>
          <w:rFonts w:cstheme="minorBidi"/>
          <w:sz w:val="21"/>
          <w:szCs w:val="22"/>
        </w:rPr>
        <w:t>”</w:t>
      </w:r>
      <w:r w:rsidRPr="00945A67">
        <w:rPr>
          <w:rFonts w:cstheme="minorBidi" w:hint="eastAsia"/>
          <w:sz w:val="21"/>
          <w:szCs w:val="22"/>
        </w:rPr>
        <w:t>的两类典型数据条件，为检验同类评价模型在不同数据环境下的测度效度与适用边界提供了理想的对照样本</w:t>
      </w:r>
      <w:r w:rsidRPr="00945A67">
        <w:rPr>
          <w:rFonts w:cstheme="minorBidi"/>
          <w:sz w:val="21"/>
          <w:szCs w:val="22"/>
        </w:rPr>
        <w:t>。</w:t>
      </w:r>
    </w:p>
    <w:p w14:paraId="304769D9" w14:textId="10052BA5" w:rsidR="004E062B" w:rsidRDefault="004E062B" w:rsidP="00945A67">
      <w:pPr>
        <w:pStyle w:val="NormalWeb"/>
        <w:spacing w:after="163"/>
        <w:ind w:firstLine="420"/>
        <w:rPr>
          <w:rFonts w:cstheme="minorBidi"/>
          <w:sz w:val="21"/>
          <w:szCs w:val="22"/>
          <w:lang w:val="en-GB"/>
        </w:rPr>
      </w:pPr>
      <w:r>
        <w:rPr>
          <w:rFonts w:cstheme="minorBidi" w:hint="eastAsia"/>
          <w:sz w:val="21"/>
          <w:szCs w:val="22"/>
          <w:lang w:val="en-GB"/>
        </w:rPr>
        <w:t>其次，两城处于相近的政策演进阶段，但经历了不同的转型路径。自行车曾长期是上海市民主要的日常出行方式，然而在快速机动</w:t>
      </w:r>
      <w:r w:rsidR="001316ED">
        <w:rPr>
          <w:rFonts w:cstheme="minorBidi" w:hint="eastAsia"/>
          <w:sz w:val="21"/>
          <w:szCs w:val="22"/>
          <w:lang w:val="en-GB"/>
        </w:rPr>
        <w:t>化</w:t>
      </w:r>
      <w:r>
        <w:rPr>
          <w:rFonts w:cstheme="minorBidi" w:hint="eastAsia"/>
          <w:sz w:val="21"/>
          <w:szCs w:val="22"/>
          <w:lang w:val="en-GB"/>
        </w:rPr>
        <w:t>进程中骑行份额一度下滑，此外部分非机动车出行转向电动自行车；近年来，共享单车的普及带动了短距离骑行的回升，上海亦通过慢行交通规划设计导则等文件将非机动车网络纳入规划体系，</w:t>
      </w:r>
      <w:r w:rsidR="004B3DCF">
        <w:rPr>
          <w:rFonts w:cstheme="minorBidi" w:hint="eastAsia"/>
          <w:sz w:val="21"/>
          <w:szCs w:val="22"/>
          <w:lang w:val="en-GB"/>
        </w:rPr>
        <w:t>并在“</w:t>
      </w:r>
      <w:r w:rsidR="004B3DCF">
        <w:rPr>
          <w:rFonts w:cstheme="minorBidi" w:hint="eastAsia"/>
          <w:sz w:val="21"/>
          <w:szCs w:val="22"/>
          <w:lang w:val="en-GB"/>
        </w:rPr>
        <w:t>15</w:t>
      </w:r>
      <w:r w:rsidR="004B3DCF">
        <w:rPr>
          <w:rFonts w:cstheme="minorBidi" w:hint="eastAsia"/>
          <w:sz w:val="21"/>
          <w:szCs w:val="22"/>
          <w:lang w:val="en-GB"/>
        </w:rPr>
        <w:t>分钟社区生活圈”建设中强调日常服务的就业可达。伦敦则在长期汽车主导的交通格局下，自</w:t>
      </w:r>
      <w:r w:rsidR="004B3DCF">
        <w:rPr>
          <w:rFonts w:cstheme="minorBidi" w:hint="eastAsia"/>
          <w:sz w:val="21"/>
          <w:szCs w:val="22"/>
          <w:lang w:val="en-GB"/>
        </w:rPr>
        <w:t>2000</w:t>
      </w:r>
      <w:r w:rsidR="004B3DCF">
        <w:rPr>
          <w:rFonts w:cstheme="minorBidi" w:hint="eastAsia"/>
          <w:sz w:val="21"/>
          <w:szCs w:val="22"/>
          <w:lang w:val="en-GB"/>
        </w:rPr>
        <w:t>年代起通过“自行车超级高速路”</w:t>
      </w:r>
      <w:r w:rsidR="004B3DCF">
        <w:rPr>
          <w:rFonts w:cstheme="minorBidi"/>
          <w:sz w:val="21"/>
          <w:szCs w:val="22"/>
          <w:lang w:val="en-GB"/>
        </w:rPr>
        <w:t>(Cycle Superhighways</w:t>
      </w:r>
      <w:r w:rsidR="004B3DCF">
        <w:rPr>
          <w:rFonts w:cstheme="minorBidi" w:hint="eastAsia"/>
          <w:sz w:val="21"/>
          <w:szCs w:val="22"/>
          <w:lang w:val="en-GB"/>
        </w:rPr>
        <w:t>，现整合为</w:t>
      </w:r>
      <w:r w:rsidR="004B3DCF">
        <w:rPr>
          <w:rFonts w:cstheme="minorBidi"/>
          <w:sz w:val="21"/>
          <w:szCs w:val="22"/>
          <w:lang w:val="en-GB"/>
        </w:rPr>
        <w:t>Cycleways</w:t>
      </w:r>
      <w:r w:rsidR="004B3DCF">
        <w:rPr>
          <w:rFonts w:cstheme="minorBidi" w:hint="eastAsia"/>
          <w:sz w:val="21"/>
          <w:szCs w:val="22"/>
          <w:lang w:val="en-GB"/>
        </w:rPr>
        <w:t>)</w:t>
      </w:r>
      <w:r w:rsidR="004B3DCF">
        <w:rPr>
          <w:rFonts w:cstheme="minorBidi" w:hint="eastAsia"/>
          <w:sz w:val="21"/>
          <w:szCs w:val="22"/>
          <w:lang w:val="en-GB"/>
        </w:rPr>
        <w:t>及“低交通社区”</w:t>
      </w:r>
      <w:r w:rsidR="004B3DCF">
        <w:rPr>
          <w:rFonts w:cstheme="minorBidi" w:hint="eastAsia"/>
          <w:sz w:val="21"/>
          <w:szCs w:val="22"/>
          <w:lang w:val="en-GB"/>
        </w:rPr>
        <w:t>(</w:t>
      </w:r>
      <w:r w:rsidR="004B3DCF">
        <w:rPr>
          <w:rFonts w:cstheme="minorBidi"/>
          <w:sz w:val="21"/>
          <w:szCs w:val="22"/>
          <w:lang w:val="en-GB"/>
        </w:rPr>
        <w:t>Low Traffic Neighbourhoods, LTNs</w:t>
      </w:r>
      <w:r w:rsidR="004B3DCF">
        <w:rPr>
          <w:rFonts w:cstheme="minorBidi" w:hint="eastAsia"/>
          <w:sz w:val="21"/>
          <w:szCs w:val="22"/>
          <w:lang w:val="en-GB"/>
        </w:rPr>
        <w:t>)</w:t>
      </w:r>
      <w:r w:rsidR="004B3DCF">
        <w:rPr>
          <w:rFonts w:cstheme="minorBidi" w:hint="eastAsia"/>
          <w:sz w:val="21"/>
          <w:szCs w:val="22"/>
          <w:lang w:val="en-GB"/>
        </w:rPr>
        <w:t>等干预措施推动骑行复兴，并逐步建构了成熟的规划设计与评估标准（如伦敦骑行设计标准</w:t>
      </w:r>
      <w:r w:rsidR="004B3DCF">
        <w:rPr>
          <w:rFonts w:cstheme="minorBidi"/>
          <w:sz w:val="21"/>
          <w:szCs w:val="22"/>
          <w:lang w:val="en-GB"/>
        </w:rPr>
        <w:t>LCDS,</w:t>
      </w:r>
      <w:r w:rsidR="004B3DCF">
        <w:rPr>
          <w:rFonts w:cstheme="minorBidi" w:hint="eastAsia"/>
          <w:sz w:val="21"/>
          <w:szCs w:val="22"/>
          <w:lang w:val="en-GB"/>
        </w:rPr>
        <w:t xml:space="preserve"> </w:t>
      </w:r>
      <w:r w:rsidR="004B3DCF">
        <w:rPr>
          <w:rFonts w:cstheme="minorBidi" w:hint="eastAsia"/>
          <w:sz w:val="21"/>
          <w:szCs w:val="22"/>
          <w:lang w:val="en-GB"/>
        </w:rPr>
        <w:t>后被整合为国家层面的《自行车设施设计标准》（</w:t>
      </w:r>
      <w:r w:rsidR="004B3DCF">
        <w:rPr>
          <w:rFonts w:cstheme="minorBidi"/>
          <w:sz w:val="21"/>
          <w:szCs w:val="22"/>
          <w:lang w:val="en-GB"/>
        </w:rPr>
        <w:t>LTN 1/20</w:t>
      </w:r>
      <w:r w:rsidR="004B3DCF">
        <w:rPr>
          <w:rFonts w:cstheme="minorBidi" w:hint="eastAsia"/>
          <w:sz w:val="21"/>
          <w:szCs w:val="22"/>
          <w:lang w:val="en-GB"/>
        </w:rPr>
        <w:t>））。两城目前均已从早期的“有没有设施”转向当下的“有没有高质量的设施”，对</w:t>
      </w:r>
      <w:r w:rsidR="001316ED">
        <w:rPr>
          <w:rFonts w:cstheme="minorBidi" w:hint="eastAsia"/>
          <w:sz w:val="21"/>
          <w:szCs w:val="22"/>
          <w:lang w:val="en-GB"/>
        </w:rPr>
        <w:t>兼具</w:t>
      </w:r>
      <w:r w:rsidR="004B3DCF">
        <w:rPr>
          <w:rFonts w:cstheme="minorBidi" w:hint="eastAsia"/>
          <w:sz w:val="21"/>
          <w:szCs w:val="22"/>
          <w:lang w:val="en-GB"/>
        </w:rPr>
        <w:t>科学性与可操作性的评价工具有着共同的现实需求。</w:t>
      </w:r>
    </w:p>
    <w:p w14:paraId="7726D08E" w14:textId="77777777" w:rsidR="004B3DCF" w:rsidRPr="001316ED" w:rsidRDefault="004B3DCF" w:rsidP="001316ED">
      <w:pPr>
        <w:pStyle w:val="NormalWeb"/>
        <w:spacing w:after="163"/>
        <w:ind w:firstLine="420"/>
        <w:rPr>
          <w:rFonts w:cstheme="minorBidi"/>
          <w:sz w:val="21"/>
          <w:szCs w:val="22"/>
          <w:lang w:val="en-GB"/>
        </w:rPr>
      </w:pPr>
      <w:r w:rsidRPr="004B3DCF">
        <w:rPr>
          <w:rFonts w:cstheme="minorBidi" w:hint="eastAsia"/>
          <w:sz w:val="21"/>
          <w:szCs w:val="22"/>
          <w:lang w:val="en-GB"/>
        </w:rPr>
        <w:t>最后，两城内城的空间条件具备高度的可比性与变量控制基础。二者均为高密度、多中心超大城市的核心区，路权分配矛盾均极为突出；同时，两城路网形态存在天然差异，上海以宽阔干道与相对规整的路网为主，而伦敦则以历史形成的窄街与不规则路网为主。在比较研究中，这种形态差异将被作为重要的结构性解释变量纳入分析框架，而非干扰比较基准的混淆项</w:t>
      </w:r>
      <w:r w:rsidRPr="004B3DCF">
        <w:rPr>
          <w:rFonts w:cstheme="minorBidi"/>
          <w:sz w:val="21"/>
          <w:szCs w:val="22"/>
          <w:lang w:val="en-GB"/>
        </w:rPr>
        <w:t>。</w:t>
      </w:r>
    </w:p>
    <w:p w14:paraId="36189A01" w14:textId="63EEBAD0" w:rsidR="0040275E" w:rsidRDefault="0040275E" w:rsidP="004B3DCF">
      <w:pPr>
        <w:pStyle w:val="Heading2"/>
        <w:numPr>
          <w:ilvl w:val="0"/>
          <w:numId w:val="0"/>
        </w:numPr>
        <w:spacing w:after="65"/>
        <w:rPr>
          <w:lang w:val="en-GB"/>
        </w:rPr>
      </w:pPr>
      <w:r>
        <w:t xml:space="preserve">3.2 </w:t>
      </w:r>
      <w:r w:rsidR="0097270E">
        <w:rPr>
          <w:rFonts w:hint="eastAsia"/>
        </w:rPr>
        <w:t>研究范围：上海内环与内伦敦</w:t>
      </w:r>
    </w:p>
    <w:p w14:paraId="29923DC2" w14:textId="6BECD60B" w:rsidR="0097270E" w:rsidRPr="0097270E" w:rsidRDefault="002C6699" w:rsidP="002C6699">
      <w:pPr>
        <w:spacing w:after="163"/>
        <w:ind w:firstLine="420"/>
        <w:jc w:val="center"/>
        <w:rPr>
          <w:lang w:val="en-GB"/>
        </w:rPr>
      </w:pPr>
      <w:r w:rsidRPr="002C6699">
        <w:rPr>
          <w:lang w:val="en-GB"/>
        </w:rPr>
        <w:drawing>
          <wp:inline distT="0" distB="0" distL="0" distR="0" wp14:anchorId="77DC5CB4" wp14:editId="7D9F3138">
            <wp:extent cx="5759450" cy="2294890"/>
            <wp:effectExtent l="0" t="0" r="6350" b="3810"/>
            <wp:docPr id="395696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96322" name=""/>
                    <pic:cNvPicPr/>
                  </pic:nvPicPr>
                  <pic:blipFill>
                    <a:blip r:embed="rId7"/>
                    <a:stretch>
                      <a:fillRect/>
                    </a:stretch>
                  </pic:blipFill>
                  <pic:spPr>
                    <a:xfrm>
                      <a:off x="0" y="0"/>
                      <a:ext cx="5759450" cy="2294890"/>
                    </a:xfrm>
                    <a:prstGeom prst="rect">
                      <a:avLst/>
                    </a:prstGeom>
                  </pic:spPr>
                </pic:pic>
              </a:graphicData>
            </a:graphic>
          </wp:inline>
        </w:drawing>
      </w:r>
    </w:p>
    <w:p w14:paraId="68D8F0DA" w14:textId="33B33BB3" w:rsidR="0040275E" w:rsidRDefault="0040275E" w:rsidP="00597030">
      <w:pPr>
        <w:pStyle w:val="Heading2"/>
        <w:numPr>
          <w:ilvl w:val="0"/>
          <w:numId w:val="0"/>
        </w:numPr>
        <w:spacing w:after="65"/>
        <w:rPr>
          <w:rFonts w:hint="eastAsia"/>
        </w:rPr>
      </w:pPr>
      <w:r>
        <w:lastRenderedPageBreak/>
        <w:t xml:space="preserve">3.3 </w:t>
      </w:r>
      <w:r w:rsidR="0097270E">
        <w:rPr>
          <w:rFonts w:hint="eastAsia"/>
        </w:rPr>
        <w:t>两类评价方法与五项原则的对接</w:t>
      </w:r>
    </w:p>
    <w:p w14:paraId="7C39AAD3" w14:textId="1BD48807" w:rsidR="0040275E" w:rsidRPr="00597030" w:rsidRDefault="0040275E" w:rsidP="00597030">
      <w:pPr>
        <w:pStyle w:val="Heading2"/>
        <w:numPr>
          <w:ilvl w:val="0"/>
          <w:numId w:val="0"/>
        </w:numPr>
        <w:spacing w:after="65"/>
        <w:rPr>
          <w:lang w:val="en-GB"/>
        </w:rPr>
      </w:pPr>
      <w:r>
        <w:t xml:space="preserve">5 </w:t>
      </w:r>
      <w:r>
        <w:t>数据与指标计算</w:t>
      </w:r>
    </w:p>
    <w:p w14:paraId="4B5B6C8B" w14:textId="77777777" w:rsidR="0040275E" w:rsidRDefault="0040275E" w:rsidP="00597030">
      <w:pPr>
        <w:pStyle w:val="Heading2"/>
        <w:numPr>
          <w:ilvl w:val="0"/>
          <w:numId w:val="0"/>
        </w:numPr>
        <w:spacing w:after="65"/>
      </w:pPr>
      <w:r>
        <w:t xml:space="preserve">5.1 </w:t>
      </w:r>
      <w:r>
        <w:t>数据来</w:t>
      </w:r>
      <w:r w:rsidRPr="00597030">
        <w:rPr>
          <w:rFonts w:hint="eastAsia"/>
        </w:rPr>
        <w:t>源</w:t>
      </w:r>
    </w:p>
    <w:p w14:paraId="0D5FEF22" w14:textId="77777777" w:rsidR="0040275E" w:rsidRDefault="0040275E" w:rsidP="00597030">
      <w:pPr>
        <w:pStyle w:val="Heading2"/>
        <w:numPr>
          <w:ilvl w:val="0"/>
          <w:numId w:val="0"/>
        </w:numPr>
        <w:spacing w:after="65"/>
      </w:pPr>
      <w:r>
        <w:t xml:space="preserve">5.2 </w:t>
      </w:r>
      <w:r>
        <w:t>伦敦指数的重算与验</w:t>
      </w:r>
      <w:r w:rsidRPr="00597030">
        <w:rPr>
          <w:rFonts w:hint="eastAsia"/>
        </w:rPr>
        <w:t>证</w:t>
      </w:r>
    </w:p>
    <w:p w14:paraId="3465AEA3" w14:textId="77777777" w:rsidR="0040275E" w:rsidRDefault="0040275E" w:rsidP="00597030">
      <w:pPr>
        <w:pStyle w:val="Heading2"/>
        <w:numPr>
          <w:ilvl w:val="0"/>
          <w:numId w:val="0"/>
        </w:numPr>
        <w:spacing w:after="65"/>
      </w:pPr>
      <w:r>
        <w:t xml:space="preserve">5.3 </w:t>
      </w:r>
      <w:r>
        <w:t>上海评价结果的汇总单</w:t>
      </w:r>
      <w:r w:rsidRPr="00597030">
        <w:rPr>
          <w:rFonts w:hint="eastAsia"/>
        </w:rPr>
        <w:t>元</w:t>
      </w:r>
    </w:p>
    <w:p w14:paraId="3BE98166" w14:textId="2E4F1258" w:rsidR="0040275E" w:rsidRPr="00597030" w:rsidRDefault="0040275E" w:rsidP="00597030">
      <w:pPr>
        <w:pStyle w:val="Heading2"/>
        <w:numPr>
          <w:ilvl w:val="0"/>
          <w:numId w:val="0"/>
        </w:numPr>
        <w:spacing w:after="65"/>
        <w:rPr>
          <w:lang w:val="en-GB"/>
        </w:rPr>
      </w:pPr>
      <w:r>
        <w:t xml:space="preserve">6 </w:t>
      </w:r>
      <w:r>
        <w:t>两城</w:t>
      </w:r>
      <w:r w:rsidR="00945A67">
        <w:t>骑行品质</w:t>
      </w:r>
      <w:r>
        <w:t>的结构特征</w:t>
      </w:r>
    </w:p>
    <w:p w14:paraId="7474D487" w14:textId="51B1F96B" w:rsidR="0040275E" w:rsidRPr="00597030" w:rsidRDefault="0040275E" w:rsidP="00597030">
      <w:pPr>
        <w:pStyle w:val="Heading2"/>
        <w:numPr>
          <w:ilvl w:val="0"/>
          <w:numId w:val="0"/>
        </w:numPr>
        <w:spacing w:after="65"/>
        <w:rPr>
          <w:rFonts w:hint="eastAsia"/>
          <w:lang w:val="en-GB"/>
        </w:rPr>
      </w:pPr>
      <w:r>
        <w:t xml:space="preserve">7 </w:t>
      </w:r>
      <w:r w:rsidR="0097270E">
        <w:rPr>
          <w:rFonts w:hint="eastAsia"/>
        </w:rPr>
        <w:t>对上海内城骑行环境改善的规划启示</w:t>
      </w:r>
    </w:p>
    <w:p w14:paraId="4E504A81" w14:textId="2B3079E6" w:rsidR="0040275E" w:rsidRPr="00597030" w:rsidRDefault="0040275E" w:rsidP="00597030">
      <w:pPr>
        <w:pStyle w:val="Heading2"/>
        <w:numPr>
          <w:ilvl w:val="0"/>
          <w:numId w:val="0"/>
        </w:numPr>
        <w:spacing w:after="65"/>
        <w:rPr>
          <w:rFonts w:hint="eastAsia"/>
          <w:lang w:val="en-GB"/>
        </w:rPr>
      </w:pPr>
      <w:r>
        <w:t xml:space="preserve">8 </w:t>
      </w:r>
      <w:r w:rsidR="0097270E">
        <w:rPr>
          <w:rFonts w:hint="eastAsia"/>
        </w:rPr>
        <w:t>结论与讨论</w:t>
      </w:r>
    </w:p>
    <w:p w14:paraId="6BF33E70" w14:textId="77777777" w:rsidR="00B47E75" w:rsidRPr="0040275E" w:rsidRDefault="00B47E75" w:rsidP="00B47E75">
      <w:pPr>
        <w:spacing w:after="163"/>
        <w:ind w:firstLineChars="0" w:firstLine="0"/>
        <w:rPr>
          <w:lang w:val="en-GB"/>
        </w:rPr>
      </w:pPr>
    </w:p>
    <w:p w14:paraId="77D18540" w14:textId="77777777" w:rsidR="00B47E75" w:rsidRPr="00E25BEA" w:rsidRDefault="00B47E75" w:rsidP="00B47E75">
      <w:pPr>
        <w:spacing w:after="163"/>
        <w:ind w:firstLineChars="0" w:firstLine="0"/>
      </w:pPr>
    </w:p>
    <w:p w14:paraId="6267D5E0" w14:textId="77777777" w:rsidR="00945AB5" w:rsidRDefault="002C25DB">
      <w:pPr>
        <w:pStyle w:val="Heading1"/>
        <w:numPr>
          <w:ilvl w:val="0"/>
          <w:numId w:val="0"/>
        </w:numPr>
        <w:spacing w:after="65"/>
      </w:pPr>
      <w:r>
        <w:rPr>
          <w:rFonts w:hint="eastAsia"/>
        </w:rPr>
        <w:t>参考文献</w:t>
      </w:r>
    </w:p>
    <w:p w14:paraId="13FFDC05" w14:textId="77777777" w:rsidR="00945AB5" w:rsidRDefault="00945AB5">
      <w:pPr>
        <w:spacing w:after="163" w:line="240" w:lineRule="auto"/>
        <w:ind w:firstLine="428"/>
        <w:rPr>
          <w:b/>
        </w:rPr>
      </w:pPr>
    </w:p>
    <w:p w14:paraId="59254F1B" w14:textId="77777777" w:rsidR="004E062B" w:rsidRPr="004E062B" w:rsidRDefault="00314AED" w:rsidP="004E062B">
      <w:pPr>
        <w:pStyle w:val="Bibliography"/>
        <w:spacing w:after="163"/>
        <w:ind w:firstLine="420"/>
        <w:rPr>
          <w:rFonts w:cs="Times New Roman"/>
          <w:lang w:val="en-GB"/>
        </w:rPr>
      </w:pPr>
      <w:r>
        <w:fldChar w:fldCharType="begin"/>
      </w:r>
      <w:r>
        <w:instrText xml:space="preserve"> ADDIN ZOTERO_BIBL {"uncited":[],"omitted":[],"custom":[]} CSL_BIBLIOGRAPHY </w:instrText>
      </w:r>
      <w:r>
        <w:fldChar w:fldCharType="separate"/>
      </w:r>
      <w:r w:rsidR="004E062B" w:rsidRPr="004E062B">
        <w:rPr>
          <w:rFonts w:cs="Times New Roman"/>
          <w:lang w:val="en-GB"/>
        </w:rPr>
        <w:t xml:space="preserve">Aldred, R. </w:t>
      </w:r>
      <w:r w:rsidR="004E062B" w:rsidRPr="004E062B">
        <w:rPr>
          <w:rFonts w:cs="Times New Roman"/>
          <w:i/>
          <w:iCs/>
          <w:lang w:val="en-GB"/>
        </w:rPr>
        <w:t>et al.</w:t>
      </w:r>
      <w:r w:rsidR="004E062B" w:rsidRPr="004E062B">
        <w:rPr>
          <w:rFonts w:cs="Times New Roman"/>
          <w:lang w:val="en-GB"/>
        </w:rPr>
        <w:t xml:space="preserve"> (2021) ‘Equity in new active travel infrastructure: A spatial analysis of London’s new Low Traffic Neighbourhoods’, </w:t>
      </w:r>
      <w:r w:rsidR="004E062B" w:rsidRPr="004E062B">
        <w:rPr>
          <w:rFonts w:cs="Times New Roman"/>
          <w:i/>
          <w:iCs/>
          <w:lang w:val="en-GB"/>
        </w:rPr>
        <w:t>Journal of Transport Geography</w:t>
      </w:r>
      <w:r w:rsidR="004E062B" w:rsidRPr="004E062B">
        <w:rPr>
          <w:rFonts w:cs="Times New Roman"/>
          <w:lang w:val="en-GB"/>
        </w:rPr>
        <w:t>, 96, p. 103194. Available at: https://doi.org/10.1016/j.jtrangeo.2021.103194.</w:t>
      </w:r>
    </w:p>
    <w:p w14:paraId="075896B4" w14:textId="77777777" w:rsidR="004E062B" w:rsidRPr="004E062B" w:rsidRDefault="004E062B" w:rsidP="004E062B">
      <w:pPr>
        <w:pStyle w:val="Bibliography"/>
        <w:spacing w:after="163"/>
        <w:ind w:firstLine="420"/>
        <w:rPr>
          <w:rFonts w:cs="Times New Roman"/>
          <w:lang w:val="en-GB"/>
        </w:rPr>
      </w:pPr>
      <w:proofErr w:type="spellStart"/>
      <w:r w:rsidRPr="004E062B">
        <w:rPr>
          <w:rFonts w:cs="Times New Roman"/>
          <w:lang w:val="en-GB"/>
        </w:rPr>
        <w:t>Arellana</w:t>
      </w:r>
      <w:proofErr w:type="spellEnd"/>
      <w:r w:rsidRPr="004E062B">
        <w:rPr>
          <w:rFonts w:cs="Times New Roman"/>
          <w:lang w:val="en-GB"/>
        </w:rPr>
        <w:t xml:space="preserve">, J. </w:t>
      </w:r>
      <w:r w:rsidRPr="004E062B">
        <w:rPr>
          <w:rFonts w:cs="Times New Roman"/>
          <w:i/>
          <w:iCs/>
          <w:lang w:val="en-GB"/>
        </w:rPr>
        <w:t>et al.</w:t>
      </w:r>
      <w:r w:rsidRPr="004E062B">
        <w:rPr>
          <w:rFonts w:cs="Times New Roman"/>
          <w:lang w:val="en-GB"/>
        </w:rPr>
        <w:t xml:space="preserve"> (2020) ‘Developing an urban bikeability index for different types of cyclists as a tool to prioritise bicycle infrastructure investments’, </w:t>
      </w:r>
      <w:r w:rsidRPr="004E062B">
        <w:rPr>
          <w:rFonts w:cs="Times New Roman"/>
          <w:i/>
          <w:iCs/>
          <w:lang w:val="en-GB"/>
        </w:rPr>
        <w:t>Transportation Research Part A: Policy and Practice</w:t>
      </w:r>
      <w:r w:rsidRPr="004E062B">
        <w:rPr>
          <w:rFonts w:cs="Times New Roman"/>
          <w:lang w:val="en-GB"/>
        </w:rPr>
        <w:t>, 139, pp. 310–334. Available at: https://doi.org/10.1016/j.tra.2020.07.010.</w:t>
      </w:r>
    </w:p>
    <w:p w14:paraId="6C9A2D56" w14:textId="77777777" w:rsidR="004E062B" w:rsidRPr="004E062B" w:rsidRDefault="004E062B" w:rsidP="004E062B">
      <w:pPr>
        <w:pStyle w:val="Bibliography"/>
        <w:spacing w:after="163"/>
        <w:ind w:firstLine="420"/>
        <w:rPr>
          <w:rFonts w:cs="Times New Roman"/>
          <w:lang w:val="en-GB"/>
        </w:rPr>
      </w:pPr>
      <w:r w:rsidRPr="004E062B">
        <w:rPr>
          <w:rFonts w:cs="Times New Roman"/>
          <w:lang w:val="en-GB"/>
        </w:rPr>
        <w:t xml:space="preserve">Braun, L.M., Rodriguez, D.A. and Gordon-Larsen, P. (2019) ‘Social (in)equity in access to cycling infrastructure: Cross-sectional associations between bike lanes and area-level sociodemographic characteristics in 22 large U.S. cities’, </w:t>
      </w:r>
      <w:r w:rsidRPr="004E062B">
        <w:rPr>
          <w:rFonts w:cs="Times New Roman"/>
          <w:i/>
          <w:iCs/>
          <w:lang w:val="en-GB"/>
        </w:rPr>
        <w:t>Journal of Transport Geography</w:t>
      </w:r>
      <w:r w:rsidRPr="004E062B">
        <w:rPr>
          <w:rFonts w:cs="Times New Roman"/>
          <w:lang w:val="en-GB"/>
        </w:rPr>
        <w:t>, 80, p. 102544. Available at: https://doi.org/10.1016/j.jtrangeo.2019.102544.</w:t>
      </w:r>
    </w:p>
    <w:p w14:paraId="71CA340D" w14:textId="77777777" w:rsidR="004E062B" w:rsidRPr="004E062B" w:rsidRDefault="004E062B" w:rsidP="004E062B">
      <w:pPr>
        <w:pStyle w:val="Bibliography"/>
        <w:spacing w:after="163"/>
        <w:ind w:firstLine="420"/>
        <w:rPr>
          <w:rFonts w:cs="Times New Roman"/>
          <w:lang w:val="en-GB"/>
        </w:rPr>
      </w:pPr>
      <w:r w:rsidRPr="004E062B">
        <w:rPr>
          <w:rFonts w:cs="Times New Roman"/>
          <w:lang w:val="en-GB"/>
        </w:rPr>
        <w:t xml:space="preserve">Dekker, H.-J. (2025) </w:t>
      </w:r>
      <w:r w:rsidRPr="004E062B">
        <w:rPr>
          <w:rFonts w:cs="Times New Roman"/>
          <w:i/>
          <w:iCs/>
          <w:lang w:val="en-GB"/>
        </w:rPr>
        <w:t>Cycling Pathways: The Politics and Governance of Dutch Cycling Infrastructure, 1920-2020</w:t>
      </w:r>
      <w:r w:rsidRPr="004E062B">
        <w:rPr>
          <w:rFonts w:cs="Times New Roman"/>
          <w:lang w:val="en-GB"/>
        </w:rPr>
        <w:t xml:space="preserve">. 1st </w:t>
      </w:r>
      <w:proofErr w:type="spellStart"/>
      <w:r w:rsidRPr="004E062B">
        <w:rPr>
          <w:rFonts w:cs="Times New Roman"/>
          <w:lang w:val="en-GB"/>
        </w:rPr>
        <w:t>edn</w:t>
      </w:r>
      <w:proofErr w:type="spellEnd"/>
      <w:r w:rsidRPr="004E062B">
        <w:rPr>
          <w:rFonts w:cs="Times New Roman"/>
          <w:lang w:val="en-GB"/>
        </w:rPr>
        <w:t>. London: Routledge. Available at: https://doi.org/10.5117/9789463728478.</w:t>
      </w:r>
    </w:p>
    <w:p w14:paraId="753BC1A4" w14:textId="77777777" w:rsidR="004E062B" w:rsidRPr="004E062B" w:rsidRDefault="004E062B" w:rsidP="004E062B">
      <w:pPr>
        <w:pStyle w:val="Bibliography"/>
        <w:spacing w:after="163"/>
        <w:ind w:firstLine="420"/>
        <w:rPr>
          <w:rFonts w:cs="Times New Roman"/>
          <w:lang w:val="en-GB"/>
        </w:rPr>
      </w:pPr>
      <w:proofErr w:type="spellStart"/>
      <w:r w:rsidRPr="004E062B">
        <w:rPr>
          <w:rFonts w:cs="Times New Roman"/>
          <w:lang w:val="en-GB"/>
        </w:rPr>
        <w:t>Fevyer</w:t>
      </w:r>
      <w:proofErr w:type="spellEnd"/>
      <w:r w:rsidRPr="004E062B">
        <w:rPr>
          <w:rFonts w:cs="Times New Roman"/>
          <w:lang w:val="en-GB"/>
        </w:rPr>
        <w:t xml:space="preserve">, D., Furlong, J. and Aldred, R. (2026) ‘Cyclability in London: Associations between the quality of the local cycling environment, cycling participation, and perceptions of the cycling environment’, </w:t>
      </w:r>
      <w:r w:rsidRPr="004E062B">
        <w:rPr>
          <w:rFonts w:cs="Times New Roman"/>
          <w:i/>
          <w:iCs/>
          <w:lang w:val="en-GB"/>
        </w:rPr>
        <w:t>Journal of Transport Geography</w:t>
      </w:r>
      <w:r w:rsidRPr="004E062B">
        <w:rPr>
          <w:rFonts w:cs="Times New Roman"/>
          <w:lang w:val="en-GB"/>
        </w:rPr>
        <w:t>, 131, p. 104509. Available at: https://doi.org/10.1016/j.jtrangeo.2025.104509.</w:t>
      </w:r>
    </w:p>
    <w:p w14:paraId="1080B894" w14:textId="77777777" w:rsidR="004E062B" w:rsidRPr="004E062B" w:rsidRDefault="004E062B" w:rsidP="004E062B">
      <w:pPr>
        <w:pStyle w:val="Bibliography"/>
        <w:spacing w:after="163"/>
        <w:ind w:firstLine="420"/>
        <w:rPr>
          <w:rFonts w:cs="Times New Roman"/>
          <w:lang w:val="en-GB"/>
        </w:rPr>
      </w:pPr>
      <w:r w:rsidRPr="004E062B">
        <w:rPr>
          <w:rFonts w:cs="Times New Roman"/>
          <w:lang w:val="en-GB"/>
        </w:rPr>
        <w:t xml:space="preserve">Kellstedt, D.K. </w:t>
      </w:r>
      <w:r w:rsidRPr="004E062B">
        <w:rPr>
          <w:rFonts w:cs="Times New Roman"/>
          <w:i/>
          <w:iCs/>
          <w:lang w:val="en-GB"/>
        </w:rPr>
        <w:t>et al.</w:t>
      </w:r>
      <w:r w:rsidRPr="004E062B">
        <w:rPr>
          <w:rFonts w:cs="Times New Roman"/>
          <w:lang w:val="en-GB"/>
        </w:rPr>
        <w:t xml:space="preserve"> (2021) ‘A Scoping Review of Bikeability Assessment Methods’, </w:t>
      </w:r>
      <w:r w:rsidRPr="004E062B">
        <w:rPr>
          <w:rFonts w:cs="Times New Roman"/>
          <w:i/>
          <w:iCs/>
          <w:lang w:val="en-GB"/>
        </w:rPr>
        <w:t>Journal of Community Health</w:t>
      </w:r>
      <w:r w:rsidRPr="004E062B">
        <w:rPr>
          <w:rFonts w:cs="Times New Roman"/>
          <w:lang w:val="en-GB"/>
        </w:rPr>
        <w:t>, 46(1), pp. 211–224. Available at: https://doi.org/10.1007/s10900-020-00846-4.</w:t>
      </w:r>
    </w:p>
    <w:p w14:paraId="3535ACF4" w14:textId="77777777" w:rsidR="004E062B" w:rsidRPr="004E062B" w:rsidRDefault="004E062B" w:rsidP="004E062B">
      <w:pPr>
        <w:pStyle w:val="Bibliography"/>
        <w:spacing w:after="163"/>
        <w:ind w:firstLine="420"/>
        <w:rPr>
          <w:rFonts w:cs="Times New Roman"/>
          <w:lang w:val="en-GB"/>
        </w:rPr>
      </w:pPr>
      <w:r w:rsidRPr="004E062B">
        <w:rPr>
          <w:rFonts w:cs="Times New Roman"/>
          <w:lang w:val="en-GB"/>
        </w:rPr>
        <w:t xml:space="preserve">Mekuria, M.C., Furth, P.G. and Nixon, H. (2012) </w:t>
      </w:r>
      <w:r w:rsidRPr="004E062B">
        <w:rPr>
          <w:rFonts w:cs="Times New Roman"/>
          <w:i/>
          <w:iCs/>
          <w:lang w:val="en-GB"/>
        </w:rPr>
        <w:t>Low-stress bicycling and network connectivity.</w:t>
      </w:r>
      <w:r w:rsidRPr="004E062B">
        <w:rPr>
          <w:rFonts w:cs="Times New Roman"/>
          <w:lang w:val="en-GB"/>
        </w:rPr>
        <w:t xml:space="preserve"> Available at: https://rosap.ntl.bts.gov (Accessed: 13 March 2026).</w:t>
      </w:r>
    </w:p>
    <w:p w14:paraId="6738E667" w14:textId="77777777" w:rsidR="004E062B" w:rsidRPr="004E062B" w:rsidRDefault="004E062B" w:rsidP="004E062B">
      <w:pPr>
        <w:pStyle w:val="Bibliography"/>
        <w:spacing w:after="163"/>
        <w:ind w:firstLine="420"/>
        <w:rPr>
          <w:rFonts w:cs="Times New Roman"/>
          <w:lang w:val="en-GB"/>
        </w:rPr>
      </w:pPr>
      <w:r w:rsidRPr="004E062B">
        <w:rPr>
          <w:rFonts w:cs="Times New Roman"/>
          <w:lang w:val="en-GB"/>
        </w:rPr>
        <w:lastRenderedPageBreak/>
        <w:t xml:space="preserve">Rossetti, S. (2024) ‘How do SUMPs Consider Factors Influencing Walkability and Cyclability? A Review of Literature and Planning Tools’, </w:t>
      </w:r>
      <w:r w:rsidRPr="004E062B">
        <w:rPr>
          <w:rFonts w:cs="Times New Roman"/>
          <w:i/>
          <w:iCs/>
          <w:lang w:val="en-GB"/>
        </w:rPr>
        <w:t>European Transport/</w:t>
      </w:r>
      <w:proofErr w:type="spellStart"/>
      <w:r w:rsidRPr="004E062B">
        <w:rPr>
          <w:rFonts w:cs="Times New Roman"/>
          <w:i/>
          <w:iCs/>
          <w:lang w:val="en-GB"/>
        </w:rPr>
        <w:t>Trasporti</w:t>
      </w:r>
      <w:proofErr w:type="spellEnd"/>
      <w:r w:rsidRPr="004E062B">
        <w:rPr>
          <w:rFonts w:cs="Times New Roman"/>
          <w:i/>
          <w:iCs/>
          <w:lang w:val="en-GB"/>
        </w:rPr>
        <w:t xml:space="preserve"> </w:t>
      </w:r>
      <w:proofErr w:type="spellStart"/>
      <w:r w:rsidRPr="004E062B">
        <w:rPr>
          <w:rFonts w:cs="Times New Roman"/>
          <w:i/>
          <w:iCs/>
          <w:lang w:val="en-GB"/>
        </w:rPr>
        <w:t>Europei</w:t>
      </w:r>
      <w:proofErr w:type="spellEnd"/>
      <w:r w:rsidRPr="004E062B">
        <w:rPr>
          <w:rFonts w:cs="Times New Roman"/>
          <w:lang w:val="en-GB"/>
        </w:rPr>
        <w:t>, (97), pp. 1–11. Available at: https://doi.org/10.48295/ET.2024.97.9.</w:t>
      </w:r>
    </w:p>
    <w:p w14:paraId="0CEBEE7D" w14:textId="77777777" w:rsidR="004E062B" w:rsidRPr="004E062B" w:rsidRDefault="004E062B" w:rsidP="004E062B">
      <w:pPr>
        <w:pStyle w:val="Bibliography"/>
        <w:spacing w:after="163"/>
        <w:ind w:firstLine="420"/>
        <w:rPr>
          <w:rFonts w:cs="Times New Roman"/>
          <w:lang w:val="en-GB"/>
        </w:rPr>
      </w:pPr>
      <w:r w:rsidRPr="004E062B">
        <w:rPr>
          <w:rFonts w:cs="Times New Roman"/>
          <w:lang w:val="en-GB"/>
        </w:rPr>
        <w:t xml:space="preserve">Saelens, B.E., Sallis, J.F. and Frank, L.D. (2003) ‘Environmental correlates of walking and cycling: Findings from the transportation, urban design, and planning literatures’, </w:t>
      </w:r>
      <w:r w:rsidRPr="004E062B">
        <w:rPr>
          <w:rFonts w:cs="Times New Roman"/>
          <w:i/>
          <w:iCs/>
          <w:lang w:val="en-GB"/>
        </w:rPr>
        <w:t xml:space="preserve">Annals of </w:t>
      </w:r>
      <w:proofErr w:type="spellStart"/>
      <w:r w:rsidRPr="004E062B">
        <w:rPr>
          <w:rFonts w:cs="Times New Roman"/>
          <w:i/>
          <w:iCs/>
          <w:lang w:val="en-GB"/>
        </w:rPr>
        <w:t>Behavioral</w:t>
      </w:r>
      <w:proofErr w:type="spellEnd"/>
      <w:r w:rsidRPr="004E062B">
        <w:rPr>
          <w:rFonts w:cs="Times New Roman"/>
          <w:i/>
          <w:iCs/>
          <w:lang w:val="en-GB"/>
        </w:rPr>
        <w:t xml:space="preserve"> Medicine</w:t>
      </w:r>
      <w:r w:rsidRPr="004E062B">
        <w:rPr>
          <w:rFonts w:cs="Times New Roman"/>
          <w:lang w:val="en-GB"/>
        </w:rPr>
        <w:t>, 25(2), pp. 80–91. Available at: https://doi.org/10.1207/S15324796ABM2502_03.</w:t>
      </w:r>
    </w:p>
    <w:p w14:paraId="59A87685" w14:textId="5228E88E" w:rsidR="00945AB5" w:rsidRDefault="00314AED" w:rsidP="004E062B">
      <w:pPr>
        <w:pStyle w:val="Bibliography"/>
        <w:spacing w:after="163"/>
        <w:ind w:firstLine="420"/>
      </w:pPr>
      <w:r>
        <w:fldChar w:fldCharType="end"/>
      </w:r>
    </w:p>
    <w:sectPr w:rsidR="00945AB5" w:rsidSect="002626F4">
      <w:headerReference w:type="even" r:id="rId8"/>
      <w:headerReference w:type="default" r:id="rId9"/>
      <w:footerReference w:type="even" r:id="rId10"/>
      <w:footerReference w:type="default" r:id="rId11"/>
      <w:headerReference w:type="first" r:id="rId12"/>
      <w:footerReference w:type="first" r:id="rId13"/>
      <w:pgSz w:w="11906" w:h="16838"/>
      <w:pgMar w:top="1418" w:right="1418" w:bottom="1418" w:left="1418"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EDFC234" w14:textId="77777777" w:rsidR="001F33D8" w:rsidRDefault="001F33D8">
      <w:pPr>
        <w:spacing w:after="120" w:line="240" w:lineRule="auto"/>
        <w:ind w:firstLine="420"/>
      </w:pPr>
      <w:r>
        <w:separator/>
      </w:r>
    </w:p>
  </w:endnote>
  <w:endnote w:type="continuationSeparator" w:id="0">
    <w:p w14:paraId="3FB32010" w14:textId="77777777" w:rsidR="001F33D8" w:rsidRDefault="001F33D8">
      <w:pPr>
        <w:spacing w:after="120"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KaiTi">
    <w:altName w:val="楷体"/>
    <w:panose1 w:val="02010609060101010101"/>
    <w:charset w:val="86"/>
    <w:family w:val="modern"/>
    <w:pitch w:val="fixed"/>
    <w:sig w:usb0="800002BF" w:usb1="38CF7CFA"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3C429A" w14:textId="77777777" w:rsidR="00945AB5" w:rsidRDefault="00945AB5">
    <w:pPr>
      <w:pStyle w:val="Footer"/>
      <w:spacing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213A20" w14:textId="77777777" w:rsidR="00945AB5" w:rsidRDefault="002C25DB">
    <w:pPr>
      <w:pStyle w:val="Footer"/>
      <w:spacing w:after="120"/>
      <w:ind w:firstLine="360"/>
      <w:jc w:val="center"/>
      <w:rPr>
        <w:caps/>
      </w:rPr>
    </w:pPr>
    <w:r>
      <w:rPr>
        <w:caps/>
      </w:rPr>
      <w:fldChar w:fldCharType="begin"/>
    </w:r>
    <w:r>
      <w:rPr>
        <w:caps/>
      </w:rPr>
      <w:instrText>PAGE   \* MERGEFORMAT</w:instrText>
    </w:r>
    <w:r>
      <w:rPr>
        <w:caps/>
      </w:rPr>
      <w:fldChar w:fldCharType="separate"/>
    </w:r>
    <w:r>
      <w:rPr>
        <w:caps/>
        <w:noProof/>
        <w:lang w:val="zh-CN"/>
      </w:rPr>
      <w:t>19</w:t>
    </w:r>
    <w:r>
      <w:rPr>
        <w:cap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E5A7A7" w14:textId="77777777" w:rsidR="00945AB5" w:rsidRDefault="00945AB5">
    <w:pPr>
      <w:pStyle w:val="Footer"/>
      <w:spacing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F140004" w14:textId="77777777" w:rsidR="001F33D8" w:rsidRDefault="001F33D8">
      <w:pPr>
        <w:spacing w:after="120"/>
        <w:ind w:firstLine="420"/>
      </w:pPr>
      <w:r>
        <w:separator/>
      </w:r>
    </w:p>
  </w:footnote>
  <w:footnote w:type="continuationSeparator" w:id="0">
    <w:p w14:paraId="16E0CB85" w14:textId="77777777" w:rsidR="001F33D8" w:rsidRDefault="001F33D8">
      <w:pPr>
        <w:spacing w:after="120"/>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541F4" w14:textId="77777777" w:rsidR="00945AB5" w:rsidRDefault="00945AB5">
    <w:pPr>
      <w:pStyle w:val="Header"/>
      <w:spacing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E02CAA" w14:textId="77777777" w:rsidR="00945AB5" w:rsidRDefault="00945AB5">
    <w:pPr>
      <w:pStyle w:val="Header"/>
      <w:spacing w:after="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33A155" w14:textId="77777777" w:rsidR="00945AB5" w:rsidRDefault="00945AB5">
    <w:pPr>
      <w:pStyle w:val="Header"/>
      <w:spacing w:after="12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186450"/>
    <w:multiLevelType w:val="multilevel"/>
    <w:tmpl w:val="24424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F2920"/>
    <w:multiLevelType w:val="multilevel"/>
    <w:tmpl w:val="EF2C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11B6F"/>
    <w:multiLevelType w:val="multilevel"/>
    <w:tmpl w:val="54E8D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402882"/>
    <w:multiLevelType w:val="multilevel"/>
    <w:tmpl w:val="957AC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E2201C"/>
    <w:multiLevelType w:val="multilevel"/>
    <w:tmpl w:val="32427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3C2F3B"/>
    <w:multiLevelType w:val="hybridMultilevel"/>
    <w:tmpl w:val="704458EC"/>
    <w:lvl w:ilvl="0" w:tplc="08090001">
      <w:start w:val="1"/>
      <w:numFmt w:val="bullet"/>
      <w:lvlText w:val=""/>
      <w:lvlJc w:val="left"/>
      <w:pPr>
        <w:ind w:left="1140" w:hanging="360"/>
      </w:pPr>
      <w:rPr>
        <w:rFonts w:ascii="Symbol" w:hAnsi="Symbol" w:hint="default"/>
      </w:rPr>
    </w:lvl>
    <w:lvl w:ilvl="1" w:tplc="08090003" w:tentative="1">
      <w:start w:val="1"/>
      <w:numFmt w:val="bullet"/>
      <w:lvlText w:val="o"/>
      <w:lvlJc w:val="left"/>
      <w:pPr>
        <w:ind w:left="1860" w:hanging="360"/>
      </w:pPr>
      <w:rPr>
        <w:rFonts w:ascii="Courier New" w:hAnsi="Courier New" w:hint="default"/>
      </w:rPr>
    </w:lvl>
    <w:lvl w:ilvl="2" w:tplc="08090005" w:tentative="1">
      <w:start w:val="1"/>
      <w:numFmt w:val="bullet"/>
      <w:lvlText w:val=""/>
      <w:lvlJc w:val="left"/>
      <w:pPr>
        <w:ind w:left="2580" w:hanging="360"/>
      </w:pPr>
      <w:rPr>
        <w:rFonts w:ascii="Wingdings" w:hAnsi="Wingdings" w:hint="default"/>
      </w:rPr>
    </w:lvl>
    <w:lvl w:ilvl="3" w:tplc="08090001" w:tentative="1">
      <w:start w:val="1"/>
      <w:numFmt w:val="bullet"/>
      <w:lvlText w:val=""/>
      <w:lvlJc w:val="left"/>
      <w:pPr>
        <w:ind w:left="3300" w:hanging="360"/>
      </w:pPr>
      <w:rPr>
        <w:rFonts w:ascii="Symbol" w:hAnsi="Symbol" w:hint="default"/>
      </w:rPr>
    </w:lvl>
    <w:lvl w:ilvl="4" w:tplc="08090003" w:tentative="1">
      <w:start w:val="1"/>
      <w:numFmt w:val="bullet"/>
      <w:lvlText w:val="o"/>
      <w:lvlJc w:val="left"/>
      <w:pPr>
        <w:ind w:left="4020" w:hanging="360"/>
      </w:pPr>
      <w:rPr>
        <w:rFonts w:ascii="Courier New" w:hAnsi="Courier New" w:hint="default"/>
      </w:rPr>
    </w:lvl>
    <w:lvl w:ilvl="5" w:tplc="08090005" w:tentative="1">
      <w:start w:val="1"/>
      <w:numFmt w:val="bullet"/>
      <w:lvlText w:val=""/>
      <w:lvlJc w:val="left"/>
      <w:pPr>
        <w:ind w:left="4740" w:hanging="360"/>
      </w:pPr>
      <w:rPr>
        <w:rFonts w:ascii="Wingdings" w:hAnsi="Wingdings" w:hint="default"/>
      </w:rPr>
    </w:lvl>
    <w:lvl w:ilvl="6" w:tplc="08090001" w:tentative="1">
      <w:start w:val="1"/>
      <w:numFmt w:val="bullet"/>
      <w:lvlText w:val=""/>
      <w:lvlJc w:val="left"/>
      <w:pPr>
        <w:ind w:left="5460" w:hanging="360"/>
      </w:pPr>
      <w:rPr>
        <w:rFonts w:ascii="Symbol" w:hAnsi="Symbol" w:hint="default"/>
      </w:rPr>
    </w:lvl>
    <w:lvl w:ilvl="7" w:tplc="08090003" w:tentative="1">
      <w:start w:val="1"/>
      <w:numFmt w:val="bullet"/>
      <w:lvlText w:val="o"/>
      <w:lvlJc w:val="left"/>
      <w:pPr>
        <w:ind w:left="6180" w:hanging="360"/>
      </w:pPr>
      <w:rPr>
        <w:rFonts w:ascii="Courier New" w:hAnsi="Courier New" w:hint="default"/>
      </w:rPr>
    </w:lvl>
    <w:lvl w:ilvl="8" w:tplc="08090005" w:tentative="1">
      <w:start w:val="1"/>
      <w:numFmt w:val="bullet"/>
      <w:lvlText w:val=""/>
      <w:lvlJc w:val="left"/>
      <w:pPr>
        <w:ind w:left="6900" w:hanging="360"/>
      </w:pPr>
      <w:rPr>
        <w:rFonts w:ascii="Wingdings" w:hAnsi="Wingdings" w:hint="default"/>
      </w:rPr>
    </w:lvl>
  </w:abstractNum>
  <w:abstractNum w:abstractNumId="6" w15:restartNumberingAfterBreak="0">
    <w:nsid w:val="4EF41C2D"/>
    <w:multiLevelType w:val="multilevel"/>
    <w:tmpl w:val="2CA4F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C9649A"/>
    <w:multiLevelType w:val="multilevel"/>
    <w:tmpl w:val="8094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DF5038"/>
    <w:multiLevelType w:val="multilevel"/>
    <w:tmpl w:val="CA2468AA"/>
    <w:lvl w:ilvl="0">
      <w:start w:val="1"/>
      <w:numFmt w:val="decimal"/>
      <w:pStyle w:val="Heading1"/>
      <w:suff w:val="nothing"/>
      <w:lvlText w:val="%1"/>
      <w:lvlJc w:val="left"/>
      <w:pPr>
        <w:ind w:left="0" w:firstLine="0"/>
      </w:pPr>
      <w:rPr>
        <w:rFonts w:hint="eastAsia"/>
      </w:rPr>
    </w:lvl>
    <w:lvl w:ilvl="1">
      <w:start w:val="1"/>
      <w:numFmt w:val="decimal"/>
      <w:pStyle w:val="Heading2"/>
      <w:suff w:val="nothing"/>
      <w:lvlText w:val="%1.%2"/>
      <w:lvlJc w:val="left"/>
      <w:pPr>
        <w:ind w:left="0" w:firstLine="0"/>
      </w:pPr>
      <w:rPr>
        <w:rFonts w:hint="eastAsia"/>
      </w:rPr>
    </w:lvl>
    <w:lvl w:ilvl="2">
      <w:start w:val="1"/>
      <w:numFmt w:val="decimal"/>
      <w:pStyle w:val="Heading3"/>
      <w:suff w:val="nothing"/>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9" w15:restartNumberingAfterBreak="0">
    <w:nsid w:val="6BAC7CB5"/>
    <w:multiLevelType w:val="multilevel"/>
    <w:tmpl w:val="050275FE"/>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580558030">
    <w:abstractNumId w:val="8"/>
  </w:num>
  <w:num w:numId="2" w16cid:durableId="340788005">
    <w:abstractNumId w:val="8"/>
  </w:num>
  <w:num w:numId="3" w16cid:durableId="807433114">
    <w:abstractNumId w:val="8"/>
  </w:num>
  <w:num w:numId="4" w16cid:durableId="1694459287">
    <w:abstractNumId w:val="8"/>
  </w:num>
  <w:num w:numId="5" w16cid:durableId="1775974877">
    <w:abstractNumId w:val="2"/>
  </w:num>
  <w:num w:numId="6" w16cid:durableId="1827359760">
    <w:abstractNumId w:val="5"/>
  </w:num>
  <w:num w:numId="7" w16cid:durableId="1476332496">
    <w:abstractNumId w:val="8"/>
  </w:num>
  <w:num w:numId="8" w16cid:durableId="2128157229">
    <w:abstractNumId w:val="9"/>
  </w:num>
  <w:num w:numId="9" w16cid:durableId="600262067">
    <w:abstractNumId w:val="6"/>
  </w:num>
  <w:num w:numId="10" w16cid:durableId="2006398802">
    <w:abstractNumId w:val="3"/>
  </w:num>
  <w:num w:numId="11" w16cid:durableId="1471630949">
    <w:abstractNumId w:val="1"/>
  </w:num>
  <w:num w:numId="12" w16cid:durableId="82997801">
    <w:abstractNumId w:val="4"/>
  </w:num>
  <w:num w:numId="13" w16cid:durableId="1921138685">
    <w:abstractNumId w:val="7"/>
  </w:num>
  <w:num w:numId="14" w16cid:durableId="211550351">
    <w:abstractNumId w:val="0"/>
  </w:num>
  <w:num w:numId="15" w16cid:durableId="867914052">
    <w:abstractNumId w:val="8"/>
  </w:num>
  <w:num w:numId="16" w16cid:durableId="709036412">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pippin hsu">
    <w15:presenceInfo w15:providerId="Windows Live" w15:userId="0b8abd6e7a9f5cc9"/>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bordersDoNotSurroundHeader/>
  <w:bordersDoNotSurroundFooter/>
  <w:proofState w:spelling="clean" w:grammar="clean"/>
  <w:defaultTabStop w:val="420"/>
  <w:drawingGridHorizontalSpacing w:val="105"/>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WUzMGQ3OTMxZTI5ODAwNTg0MmUxY2NkMjg1MTUyNzMifQ=="/>
  </w:docVars>
  <w:rsids>
    <w:rsidRoot w:val="00B8036D"/>
    <w:rsid w:val="000008C6"/>
    <w:rsid w:val="00000D0C"/>
    <w:rsid w:val="00001986"/>
    <w:rsid w:val="0000259A"/>
    <w:rsid w:val="00003A60"/>
    <w:rsid w:val="000055A7"/>
    <w:rsid w:val="0000581A"/>
    <w:rsid w:val="00006CA2"/>
    <w:rsid w:val="00006CE6"/>
    <w:rsid w:val="000073D5"/>
    <w:rsid w:val="00007844"/>
    <w:rsid w:val="000108D1"/>
    <w:rsid w:val="000111C3"/>
    <w:rsid w:val="00011D34"/>
    <w:rsid w:val="00012220"/>
    <w:rsid w:val="00012998"/>
    <w:rsid w:val="00014170"/>
    <w:rsid w:val="000149D8"/>
    <w:rsid w:val="000161EF"/>
    <w:rsid w:val="00016E38"/>
    <w:rsid w:val="00020138"/>
    <w:rsid w:val="00020538"/>
    <w:rsid w:val="0002067F"/>
    <w:rsid w:val="00022752"/>
    <w:rsid w:val="000242FF"/>
    <w:rsid w:val="000244D0"/>
    <w:rsid w:val="000247C1"/>
    <w:rsid w:val="00024B03"/>
    <w:rsid w:val="00024D2C"/>
    <w:rsid w:val="00026280"/>
    <w:rsid w:val="00026509"/>
    <w:rsid w:val="000265D9"/>
    <w:rsid w:val="00026921"/>
    <w:rsid w:val="00027E04"/>
    <w:rsid w:val="00030ED2"/>
    <w:rsid w:val="000334C8"/>
    <w:rsid w:val="00033A63"/>
    <w:rsid w:val="00033FA1"/>
    <w:rsid w:val="0003431D"/>
    <w:rsid w:val="0003574F"/>
    <w:rsid w:val="00035916"/>
    <w:rsid w:val="00036366"/>
    <w:rsid w:val="0003725C"/>
    <w:rsid w:val="000403AE"/>
    <w:rsid w:val="00041161"/>
    <w:rsid w:val="00041175"/>
    <w:rsid w:val="00041331"/>
    <w:rsid w:val="00041BFD"/>
    <w:rsid w:val="00047F63"/>
    <w:rsid w:val="000501F9"/>
    <w:rsid w:val="00053130"/>
    <w:rsid w:val="00053DC8"/>
    <w:rsid w:val="00054288"/>
    <w:rsid w:val="00054C0A"/>
    <w:rsid w:val="00054EE9"/>
    <w:rsid w:val="00055EDE"/>
    <w:rsid w:val="00056977"/>
    <w:rsid w:val="000600C1"/>
    <w:rsid w:val="00060955"/>
    <w:rsid w:val="00060C54"/>
    <w:rsid w:val="00060D7E"/>
    <w:rsid w:val="00061A60"/>
    <w:rsid w:val="00062F84"/>
    <w:rsid w:val="000631C6"/>
    <w:rsid w:val="00065A37"/>
    <w:rsid w:val="00066C31"/>
    <w:rsid w:val="0006709D"/>
    <w:rsid w:val="00067238"/>
    <w:rsid w:val="00067247"/>
    <w:rsid w:val="000677C0"/>
    <w:rsid w:val="000703BC"/>
    <w:rsid w:val="0007157E"/>
    <w:rsid w:val="00071A8D"/>
    <w:rsid w:val="00073233"/>
    <w:rsid w:val="00073840"/>
    <w:rsid w:val="000754E6"/>
    <w:rsid w:val="000774DD"/>
    <w:rsid w:val="0007778E"/>
    <w:rsid w:val="000800B3"/>
    <w:rsid w:val="00080C33"/>
    <w:rsid w:val="000827D0"/>
    <w:rsid w:val="00082A82"/>
    <w:rsid w:val="00082DE1"/>
    <w:rsid w:val="00082F5D"/>
    <w:rsid w:val="000831F3"/>
    <w:rsid w:val="00084008"/>
    <w:rsid w:val="000847CF"/>
    <w:rsid w:val="000852AF"/>
    <w:rsid w:val="0008664A"/>
    <w:rsid w:val="00086ADC"/>
    <w:rsid w:val="00090121"/>
    <w:rsid w:val="00090644"/>
    <w:rsid w:val="00090AF6"/>
    <w:rsid w:val="00096603"/>
    <w:rsid w:val="00096AAC"/>
    <w:rsid w:val="0009733A"/>
    <w:rsid w:val="00097866"/>
    <w:rsid w:val="00097DF9"/>
    <w:rsid w:val="000A06DC"/>
    <w:rsid w:val="000A175F"/>
    <w:rsid w:val="000A1DB3"/>
    <w:rsid w:val="000A39E1"/>
    <w:rsid w:val="000A3D6C"/>
    <w:rsid w:val="000A5549"/>
    <w:rsid w:val="000A591C"/>
    <w:rsid w:val="000A6E78"/>
    <w:rsid w:val="000A7112"/>
    <w:rsid w:val="000A78B5"/>
    <w:rsid w:val="000B0033"/>
    <w:rsid w:val="000B0C2B"/>
    <w:rsid w:val="000B208E"/>
    <w:rsid w:val="000B28D0"/>
    <w:rsid w:val="000B3217"/>
    <w:rsid w:val="000B4C14"/>
    <w:rsid w:val="000B5276"/>
    <w:rsid w:val="000B611E"/>
    <w:rsid w:val="000B676A"/>
    <w:rsid w:val="000B7346"/>
    <w:rsid w:val="000C1BEB"/>
    <w:rsid w:val="000C1EF7"/>
    <w:rsid w:val="000C2E52"/>
    <w:rsid w:val="000C2F7B"/>
    <w:rsid w:val="000C3592"/>
    <w:rsid w:val="000C3806"/>
    <w:rsid w:val="000C5005"/>
    <w:rsid w:val="000C5C77"/>
    <w:rsid w:val="000C6B47"/>
    <w:rsid w:val="000C6C42"/>
    <w:rsid w:val="000D0AB8"/>
    <w:rsid w:val="000D0DEE"/>
    <w:rsid w:val="000D0FEF"/>
    <w:rsid w:val="000D1257"/>
    <w:rsid w:val="000D2368"/>
    <w:rsid w:val="000D241D"/>
    <w:rsid w:val="000D4023"/>
    <w:rsid w:val="000D484D"/>
    <w:rsid w:val="000D5064"/>
    <w:rsid w:val="000D5617"/>
    <w:rsid w:val="000D5A89"/>
    <w:rsid w:val="000D61E0"/>
    <w:rsid w:val="000D62A9"/>
    <w:rsid w:val="000D6FFE"/>
    <w:rsid w:val="000D70F7"/>
    <w:rsid w:val="000E1BC5"/>
    <w:rsid w:val="000E1DBA"/>
    <w:rsid w:val="000E21E3"/>
    <w:rsid w:val="000E3C68"/>
    <w:rsid w:val="000E3CD9"/>
    <w:rsid w:val="000E4CB6"/>
    <w:rsid w:val="000E4F1D"/>
    <w:rsid w:val="000E52CF"/>
    <w:rsid w:val="000E64C1"/>
    <w:rsid w:val="000E6AAB"/>
    <w:rsid w:val="000E6AE2"/>
    <w:rsid w:val="000E7EA6"/>
    <w:rsid w:val="000F1F52"/>
    <w:rsid w:val="000F39D3"/>
    <w:rsid w:val="000F3E4F"/>
    <w:rsid w:val="000F4360"/>
    <w:rsid w:val="000F480E"/>
    <w:rsid w:val="000F4CE5"/>
    <w:rsid w:val="000F5141"/>
    <w:rsid w:val="000F6D5F"/>
    <w:rsid w:val="000F7B9E"/>
    <w:rsid w:val="0010068D"/>
    <w:rsid w:val="00100F20"/>
    <w:rsid w:val="001012B2"/>
    <w:rsid w:val="001013E7"/>
    <w:rsid w:val="001018BC"/>
    <w:rsid w:val="001020EE"/>
    <w:rsid w:val="00102D0B"/>
    <w:rsid w:val="00106097"/>
    <w:rsid w:val="00106924"/>
    <w:rsid w:val="001071C3"/>
    <w:rsid w:val="00110147"/>
    <w:rsid w:val="001110B5"/>
    <w:rsid w:val="00111FC5"/>
    <w:rsid w:val="00114572"/>
    <w:rsid w:val="00114E0B"/>
    <w:rsid w:val="0011721E"/>
    <w:rsid w:val="0012042C"/>
    <w:rsid w:val="00122980"/>
    <w:rsid w:val="0012312F"/>
    <w:rsid w:val="0012314D"/>
    <w:rsid w:val="00123308"/>
    <w:rsid w:val="00123B77"/>
    <w:rsid w:val="001241A0"/>
    <w:rsid w:val="00125C85"/>
    <w:rsid w:val="00125EA4"/>
    <w:rsid w:val="001278CC"/>
    <w:rsid w:val="00130AD3"/>
    <w:rsid w:val="001313E3"/>
    <w:rsid w:val="001316ED"/>
    <w:rsid w:val="001321E1"/>
    <w:rsid w:val="001326F3"/>
    <w:rsid w:val="00133D7A"/>
    <w:rsid w:val="00134242"/>
    <w:rsid w:val="001376A9"/>
    <w:rsid w:val="00137BAE"/>
    <w:rsid w:val="00140FBD"/>
    <w:rsid w:val="00141D78"/>
    <w:rsid w:val="00141E10"/>
    <w:rsid w:val="00143C31"/>
    <w:rsid w:val="00146A50"/>
    <w:rsid w:val="001471B8"/>
    <w:rsid w:val="001478D8"/>
    <w:rsid w:val="00147DAE"/>
    <w:rsid w:val="0015169A"/>
    <w:rsid w:val="001516E0"/>
    <w:rsid w:val="00151AF2"/>
    <w:rsid w:val="00151EF6"/>
    <w:rsid w:val="001525CD"/>
    <w:rsid w:val="00152A6D"/>
    <w:rsid w:val="0015666B"/>
    <w:rsid w:val="001567A7"/>
    <w:rsid w:val="00156DE5"/>
    <w:rsid w:val="00156ED8"/>
    <w:rsid w:val="00160B90"/>
    <w:rsid w:val="001610AB"/>
    <w:rsid w:val="00161C71"/>
    <w:rsid w:val="00161D50"/>
    <w:rsid w:val="0016200A"/>
    <w:rsid w:val="00162FB2"/>
    <w:rsid w:val="001631E3"/>
    <w:rsid w:val="0016776B"/>
    <w:rsid w:val="00167AC9"/>
    <w:rsid w:val="001704C3"/>
    <w:rsid w:val="001719FE"/>
    <w:rsid w:val="00171CD2"/>
    <w:rsid w:val="001729E5"/>
    <w:rsid w:val="00172CE5"/>
    <w:rsid w:val="00172DB3"/>
    <w:rsid w:val="00173FFA"/>
    <w:rsid w:val="001742CE"/>
    <w:rsid w:val="00174B73"/>
    <w:rsid w:val="00175422"/>
    <w:rsid w:val="00175446"/>
    <w:rsid w:val="0017666D"/>
    <w:rsid w:val="0017680B"/>
    <w:rsid w:val="001769E6"/>
    <w:rsid w:val="00177349"/>
    <w:rsid w:val="00180079"/>
    <w:rsid w:val="00180464"/>
    <w:rsid w:val="00180CA2"/>
    <w:rsid w:val="00181262"/>
    <w:rsid w:val="00181532"/>
    <w:rsid w:val="00182A6D"/>
    <w:rsid w:val="00182AD4"/>
    <w:rsid w:val="00184FCA"/>
    <w:rsid w:val="00185195"/>
    <w:rsid w:val="00185D15"/>
    <w:rsid w:val="00186957"/>
    <w:rsid w:val="00186DB4"/>
    <w:rsid w:val="00186F52"/>
    <w:rsid w:val="0019064E"/>
    <w:rsid w:val="00190D1A"/>
    <w:rsid w:val="00195B36"/>
    <w:rsid w:val="0019672D"/>
    <w:rsid w:val="001A044A"/>
    <w:rsid w:val="001A0688"/>
    <w:rsid w:val="001A0E2A"/>
    <w:rsid w:val="001A3FD3"/>
    <w:rsid w:val="001A5321"/>
    <w:rsid w:val="001A61FF"/>
    <w:rsid w:val="001B2672"/>
    <w:rsid w:val="001B2778"/>
    <w:rsid w:val="001B2AC6"/>
    <w:rsid w:val="001B2BA9"/>
    <w:rsid w:val="001B3942"/>
    <w:rsid w:val="001B413F"/>
    <w:rsid w:val="001B46FF"/>
    <w:rsid w:val="001B4DEC"/>
    <w:rsid w:val="001B50FA"/>
    <w:rsid w:val="001B5785"/>
    <w:rsid w:val="001B6697"/>
    <w:rsid w:val="001B681B"/>
    <w:rsid w:val="001B7293"/>
    <w:rsid w:val="001B77EF"/>
    <w:rsid w:val="001C01F7"/>
    <w:rsid w:val="001C084D"/>
    <w:rsid w:val="001C1922"/>
    <w:rsid w:val="001C2D28"/>
    <w:rsid w:val="001C4659"/>
    <w:rsid w:val="001C4BE6"/>
    <w:rsid w:val="001C5CC5"/>
    <w:rsid w:val="001C5F17"/>
    <w:rsid w:val="001C61F0"/>
    <w:rsid w:val="001C660C"/>
    <w:rsid w:val="001C684A"/>
    <w:rsid w:val="001C7BD5"/>
    <w:rsid w:val="001D132C"/>
    <w:rsid w:val="001D1B0C"/>
    <w:rsid w:val="001D2FD8"/>
    <w:rsid w:val="001D4028"/>
    <w:rsid w:val="001D4C9D"/>
    <w:rsid w:val="001D5075"/>
    <w:rsid w:val="001D5A7F"/>
    <w:rsid w:val="001D5F97"/>
    <w:rsid w:val="001D7B4A"/>
    <w:rsid w:val="001E1873"/>
    <w:rsid w:val="001E381D"/>
    <w:rsid w:val="001E3F3E"/>
    <w:rsid w:val="001E7008"/>
    <w:rsid w:val="001F0532"/>
    <w:rsid w:val="001F1A34"/>
    <w:rsid w:val="001F1D7C"/>
    <w:rsid w:val="001F33D8"/>
    <w:rsid w:val="001F4979"/>
    <w:rsid w:val="001F765A"/>
    <w:rsid w:val="001F77B3"/>
    <w:rsid w:val="001F7B39"/>
    <w:rsid w:val="002000B0"/>
    <w:rsid w:val="00201886"/>
    <w:rsid w:val="00202069"/>
    <w:rsid w:val="002037DA"/>
    <w:rsid w:val="00206BDA"/>
    <w:rsid w:val="00206DE6"/>
    <w:rsid w:val="00206F94"/>
    <w:rsid w:val="00207803"/>
    <w:rsid w:val="00212324"/>
    <w:rsid w:val="0021451E"/>
    <w:rsid w:val="00217A41"/>
    <w:rsid w:val="00220877"/>
    <w:rsid w:val="00220C74"/>
    <w:rsid w:val="002217F9"/>
    <w:rsid w:val="00222A90"/>
    <w:rsid w:val="0022366D"/>
    <w:rsid w:val="00223A46"/>
    <w:rsid w:val="00224DB4"/>
    <w:rsid w:val="00225890"/>
    <w:rsid w:val="0022647F"/>
    <w:rsid w:val="002312E4"/>
    <w:rsid w:val="00231618"/>
    <w:rsid w:val="002324AE"/>
    <w:rsid w:val="00233565"/>
    <w:rsid w:val="002339CE"/>
    <w:rsid w:val="0023495B"/>
    <w:rsid w:val="00234E4E"/>
    <w:rsid w:val="00234E69"/>
    <w:rsid w:val="00236470"/>
    <w:rsid w:val="0023791F"/>
    <w:rsid w:val="0023798B"/>
    <w:rsid w:val="00237A19"/>
    <w:rsid w:val="002404EB"/>
    <w:rsid w:val="00242D41"/>
    <w:rsid w:val="002430D9"/>
    <w:rsid w:val="0024315E"/>
    <w:rsid w:val="00243458"/>
    <w:rsid w:val="002437C8"/>
    <w:rsid w:val="002449AC"/>
    <w:rsid w:val="00244B1A"/>
    <w:rsid w:val="0024748E"/>
    <w:rsid w:val="00251621"/>
    <w:rsid w:val="00253059"/>
    <w:rsid w:val="00254515"/>
    <w:rsid w:val="0025483E"/>
    <w:rsid w:val="00254D5B"/>
    <w:rsid w:val="00255850"/>
    <w:rsid w:val="00255FA0"/>
    <w:rsid w:val="0025731E"/>
    <w:rsid w:val="0025745E"/>
    <w:rsid w:val="002577EB"/>
    <w:rsid w:val="00260A98"/>
    <w:rsid w:val="0026172B"/>
    <w:rsid w:val="00262235"/>
    <w:rsid w:val="002626F4"/>
    <w:rsid w:val="00262D71"/>
    <w:rsid w:val="00264CF7"/>
    <w:rsid w:val="0026675B"/>
    <w:rsid w:val="00267136"/>
    <w:rsid w:val="002713BD"/>
    <w:rsid w:val="002716B2"/>
    <w:rsid w:val="0027279B"/>
    <w:rsid w:val="00272C88"/>
    <w:rsid w:val="0027391D"/>
    <w:rsid w:val="002754AE"/>
    <w:rsid w:val="0027607D"/>
    <w:rsid w:val="00276565"/>
    <w:rsid w:val="002767DC"/>
    <w:rsid w:val="00276B7B"/>
    <w:rsid w:val="00276DB1"/>
    <w:rsid w:val="002773C8"/>
    <w:rsid w:val="00277F33"/>
    <w:rsid w:val="0028115B"/>
    <w:rsid w:val="002816DA"/>
    <w:rsid w:val="0028247F"/>
    <w:rsid w:val="00283304"/>
    <w:rsid w:val="0028333D"/>
    <w:rsid w:val="0028343F"/>
    <w:rsid w:val="00283484"/>
    <w:rsid w:val="00283663"/>
    <w:rsid w:val="00283D94"/>
    <w:rsid w:val="002843FF"/>
    <w:rsid w:val="00284AD6"/>
    <w:rsid w:val="00285235"/>
    <w:rsid w:val="00285EEC"/>
    <w:rsid w:val="002873D1"/>
    <w:rsid w:val="00287662"/>
    <w:rsid w:val="002908EF"/>
    <w:rsid w:val="002909B6"/>
    <w:rsid w:val="00292220"/>
    <w:rsid w:val="002933A7"/>
    <w:rsid w:val="002936EC"/>
    <w:rsid w:val="002936EF"/>
    <w:rsid w:val="00293764"/>
    <w:rsid w:val="002956D6"/>
    <w:rsid w:val="00296AD3"/>
    <w:rsid w:val="002970A5"/>
    <w:rsid w:val="002A0558"/>
    <w:rsid w:val="002A062C"/>
    <w:rsid w:val="002A3AC5"/>
    <w:rsid w:val="002A58AC"/>
    <w:rsid w:val="002A62E0"/>
    <w:rsid w:val="002A6615"/>
    <w:rsid w:val="002A762D"/>
    <w:rsid w:val="002B0751"/>
    <w:rsid w:val="002B0B98"/>
    <w:rsid w:val="002B1317"/>
    <w:rsid w:val="002B1321"/>
    <w:rsid w:val="002B13FA"/>
    <w:rsid w:val="002B2394"/>
    <w:rsid w:val="002B23E6"/>
    <w:rsid w:val="002B2AA0"/>
    <w:rsid w:val="002B4080"/>
    <w:rsid w:val="002B4D6C"/>
    <w:rsid w:val="002B4D71"/>
    <w:rsid w:val="002B63BA"/>
    <w:rsid w:val="002B66A4"/>
    <w:rsid w:val="002B7CC0"/>
    <w:rsid w:val="002B7F56"/>
    <w:rsid w:val="002C05FC"/>
    <w:rsid w:val="002C25DB"/>
    <w:rsid w:val="002C6699"/>
    <w:rsid w:val="002D1045"/>
    <w:rsid w:val="002D13DA"/>
    <w:rsid w:val="002D16C2"/>
    <w:rsid w:val="002D295B"/>
    <w:rsid w:val="002D3666"/>
    <w:rsid w:val="002D390A"/>
    <w:rsid w:val="002D3B55"/>
    <w:rsid w:val="002D3F44"/>
    <w:rsid w:val="002D4201"/>
    <w:rsid w:val="002D5400"/>
    <w:rsid w:val="002E0FC0"/>
    <w:rsid w:val="002E1021"/>
    <w:rsid w:val="002E1C80"/>
    <w:rsid w:val="002E23AF"/>
    <w:rsid w:val="002E23F3"/>
    <w:rsid w:val="002E2DD5"/>
    <w:rsid w:val="002E2DFE"/>
    <w:rsid w:val="002E31D4"/>
    <w:rsid w:val="002E48EE"/>
    <w:rsid w:val="002E4C31"/>
    <w:rsid w:val="002E4E80"/>
    <w:rsid w:val="002E5827"/>
    <w:rsid w:val="002E58B7"/>
    <w:rsid w:val="002E63C3"/>
    <w:rsid w:val="002E7676"/>
    <w:rsid w:val="002E76A4"/>
    <w:rsid w:val="002F0FAB"/>
    <w:rsid w:val="002F134D"/>
    <w:rsid w:val="002F15B4"/>
    <w:rsid w:val="002F1CE2"/>
    <w:rsid w:val="002F1EF2"/>
    <w:rsid w:val="002F205D"/>
    <w:rsid w:val="002F369E"/>
    <w:rsid w:val="002F4B85"/>
    <w:rsid w:val="002F528C"/>
    <w:rsid w:val="002F531C"/>
    <w:rsid w:val="002F5B82"/>
    <w:rsid w:val="002F6F4A"/>
    <w:rsid w:val="00300387"/>
    <w:rsid w:val="003016CB"/>
    <w:rsid w:val="00301708"/>
    <w:rsid w:val="00302100"/>
    <w:rsid w:val="00302F9C"/>
    <w:rsid w:val="003037B3"/>
    <w:rsid w:val="00303C11"/>
    <w:rsid w:val="00304C57"/>
    <w:rsid w:val="0030563D"/>
    <w:rsid w:val="003063DF"/>
    <w:rsid w:val="00306C03"/>
    <w:rsid w:val="0030792A"/>
    <w:rsid w:val="003146E4"/>
    <w:rsid w:val="0031487D"/>
    <w:rsid w:val="00314AED"/>
    <w:rsid w:val="00315342"/>
    <w:rsid w:val="00315585"/>
    <w:rsid w:val="0031583D"/>
    <w:rsid w:val="00315969"/>
    <w:rsid w:val="00316F84"/>
    <w:rsid w:val="00317A2E"/>
    <w:rsid w:val="00317AEC"/>
    <w:rsid w:val="00317ECB"/>
    <w:rsid w:val="00321963"/>
    <w:rsid w:val="00321E55"/>
    <w:rsid w:val="0033151A"/>
    <w:rsid w:val="0033323C"/>
    <w:rsid w:val="00333C8E"/>
    <w:rsid w:val="003341B3"/>
    <w:rsid w:val="003348AE"/>
    <w:rsid w:val="003368B3"/>
    <w:rsid w:val="00337185"/>
    <w:rsid w:val="0034000C"/>
    <w:rsid w:val="00341122"/>
    <w:rsid w:val="00343019"/>
    <w:rsid w:val="003433BE"/>
    <w:rsid w:val="00343733"/>
    <w:rsid w:val="00343A19"/>
    <w:rsid w:val="00343C3A"/>
    <w:rsid w:val="00344032"/>
    <w:rsid w:val="003451B9"/>
    <w:rsid w:val="00345989"/>
    <w:rsid w:val="00347955"/>
    <w:rsid w:val="00347CA0"/>
    <w:rsid w:val="00347FC2"/>
    <w:rsid w:val="003519BD"/>
    <w:rsid w:val="00351A5B"/>
    <w:rsid w:val="003529D0"/>
    <w:rsid w:val="00353716"/>
    <w:rsid w:val="00353BF8"/>
    <w:rsid w:val="00354555"/>
    <w:rsid w:val="00354564"/>
    <w:rsid w:val="003558F6"/>
    <w:rsid w:val="00356AAE"/>
    <w:rsid w:val="00360B19"/>
    <w:rsid w:val="00360FC8"/>
    <w:rsid w:val="003623FE"/>
    <w:rsid w:val="003624F0"/>
    <w:rsid w:val="00362900"/>
    <w:rsid w:val="00363CDE"/>
    <w:rsid w:val="00363FE8"/>
    <w:rsid w:val="0036448A"/>
    <w:rsid w:val="00364F26"/>
    <w:rsid w:val="003654B9"/>
    <w:rsid w:val="00365769"/>
    <w:rsid w:val="0036737C"/>
    <w:rsid w:val="00367420"/>
    <w:rsid w:val="00367CF3"/>
    <w:rsid w:val="00370B37"/>
    <w:rsid w:val="00372BD6"/>
    <w:rsid w:val="00372C0C"/>
    <w:rsid w:val="0037378D"/>
    <w:rsid w:val="00373A76"/>
    <w:rsid w:val="00373EAD"/>
    <w:rsid w:val="003741FD"/>
    <w:rsid w:val="00374608"/>
    <w:rsid w:val="00375C40"/>
    <w:rsid w:val="00380134"/>
    <w:rsid w:val="00380520"/>
    <w:rsid w:val="003838C0"/>
    <w:rsid w:val="003858A0"/>
    <w:rsid w:val="00385E95"/>
    <w:rsid w:val="00386D25"/>
    <w:rsid w:val="0039016F"/>
    <w:rsid w:val="00391389"/>
    <w:rsid w:val="0039209B"/>
    <w:rsid w:val="00392F2B"/>
    <w:rsid w:val="0039332E"/>
    <w:rsid w:val="00393377"/>
    <w:rsid w:val="003933A8"/>
    <w:rsid w:val="003949AB"/>
    <w:rsid w:val="003961AA"/>
    <w:rsid w:val="00396445"/>
    <w:rsid w:val="00396AB6"/>
    <w:rsid w:val="00396FAC"/>
    <w:rsid w:val="0039711F"/>
    <w:rsid w:val="003A1935"/>
    <w:rsid w:val="003A4041"/>
    <w:rsid w:val="003A416A"/>
    <w:rsid w:val="003A557B"/>
    <w:rsid w:val="003A58EB"/>
    <w:rsid w:val="003A6D29"/>
    <w:rsid w:val="003B022D"/>
    <w:rsid w:val="003B0514"/>
    <w:rsid w:val="003B3928"/>
    <w:rsid w:val="003B3D2F"/>
    <w:rsid w:val="003B4C08"/>
    <w:rsid w:val="003B57C6"/>
    <w:rsid w:val="003B5EAC"/>
    <w:rsid w:val="003B6A4A"/>
    <w:rsid w:val="003B783F"/>
    <w:rsid w:val="003C0DF6"/>
    <w:rsid w:val="003C147C"/>
    <w:rsid w:val="003C5467"/>
    <w:rsid w:val="003C57D5"/>
    <w:rsid w:val="003C59BD"/>
    <w:rsid w:val="003C604D"/>
    <w:rsid w:val="003C63EA"/>
    <w:rsid w:val="003C7283"/>
    <w:rsid w:val="003C72BA"/>
    <w:rsid w:val="003C7367"/>
    <w:rsid w:val="003C78AC"/>
    <w:rsid w:val="003D378E"/>
    <w:rsid w:val="003D3B0D"/>
    <w:rsid w:val="003D4838"/>
    <w:rsid w:val="003D547B"/>
    <w:rsid w:val="003D5BCC"/>
    <w:rsid w:val="003D7162"/>
    <w:rsid w:val="003D7ED5"/>
    <w:rsid w:val="003E046C"/>
    <w:rsid w:val="003E380D"/>
    <w:rsid w:val="003E3A36"/>
    <w:rsid w:val="003E4931"/>
    <w:rsid w:val="003E4C7B"/>
    <w:rsid w:val="003E5DDC"/>
    <w:rsid w:val="003E6FAE"/>
    <w:rsid w:val="003F0451"/>
    <w:rsid w:val="003F161F"/>
    <w:rsid w:val="003F2115"/>
    <w:rsid w:val="003F216D"/>
    <w:rsid w:val="003F4298"/>
    <w:rsid w:val="003F4976"/>
    <w:rsid w:val="003F6B01"/>
    <w:rsid w:val="003F73F7"/>
    <w:rsid w:val="003F7910"/>
    <w:rsid w:val="003F7D05"/>
    <w:rsid w:val="0040130C"/>
    <w:rsid w:val="004017DD"/>
    <w:rsid w:val="0040275E"/>
    <w:rsid w:val="00403A8C"/>
    <w:rsid w:val="00403FD5"/>
    <w:rsid w:val="00405C9D"/>
    <w:rsid w:val="00405CC3"/>
    <w:rsid w:val="00406530"/>
    <w:rsid w:val="00406E3C"/>
    <w:rsid w:val="0040744F"/>
    <w:rsid w:val="0040782A"/>
    <w:rsid w:val="004109F2"/>
    <w:rsid w:val="004113A5"/>
    <w:rsid w:val="004113DA"/>
    <w:rsid w:val="004124EA"/>
    <w:rsid w:val="004127A0"/>
    <w:rsid w:val="00413315"/>
    <w:rsid w:val="00413492"/>
    <w:rsid w:val="00414100"/>
    <w:rsid w:val="00414AFF"/>
    <w:rsid w:val="00414C62"/>
    <w:rsid w:val="00414D7D"/>
    <w:rsid w:val="00414E0F"/>
    <w:rsid w:val="00415C90"/>
    <w:rsid w:val="00416963"/>
    <w:rsid w:val="00416BE5"/>
    <w:rsid w:val="00416FA3"/>
    <w:rsid w:val="004176E1"/>
    <w:rsid w:val="00417BF9"/>
    <w:rsid w:val="004233E0"/>
    <w:rsid w:val="004260E1"/>
    <w:rsid w:val="004264F5"/>
    <w:rsid w:val="00426B67"/>
    <w:rsid w:val="00426C2A"/>
    <w:rsid w:val="004272B5"/>
    <w:rsid w:val="00427384"/>
    <w:rsid w:val="00433837"/>
    <w:rsid w:val="00434BF6"/>
    <w:rsid w:val="004368F8"/>
    <w:rsid w:val="00442D90"/>
    <w:rsid w:val="00442EE5"/>
    <w:rsid w:val="00442F4C"/>
    <w:rsid w:val="004433C3"/>
    <w:rsid w:val="00443535"/>
    <w:rsid w:val="00443ABA"/>
    <w:rsid w:val="004440B9"/>
    <w:rsid w:val="004451FD"/>
    <w:rsid w:val="004454BA"/>
    <w:rsid w:val="00446A10"/>
    <w:rsid w:val="00446AAA"/>
    <w:rsid w:val="00450018"/>
    <w:rsid w:val="00450E53"/>
    <w:rsid w:val="0045120F"/>
    <w:rsid w:val="004512CF"/>
    <w:rsid w:val="00451B2F"/>
    <w:rsid w:val="0045202E"/>
    <w:rsid w:val="004520E7"/>
    <w:rsid w:val="004522FE"/>
    <w:rsid w:val="00452AC5"/>
    <w:rsid w:val="0045357D"/>
    <w:rsid w:val="00453B37"/>
    <w:rsid w:val="00454BA3"/>
    <w:rsid w:val="00454C0A"/>
    <w:rsid w:val="00455704"/>
    <w:rsid w:val="00456368"/>
    <w:rsid w:val="0045778A"/>
    <w:rsid w:val="00460CA0"/>
    <w:rsid w:val="004617EE"/>
    <w:rsid w:val="004619E5"/>
    <w:rsid w:val="00461F38"/>
    <w:rsid w:val="0046278D"/>
    <w:rsid w:val="0046334E"/>
    <w:rsid w:val="0046358A"/>
    <w:rsid w:val="00465012"/>
    <w:rsid w:val="0046509D"/>
    <w:rsid w:val="0046543F"/>
    <w:rsid w:val="004654A4"/>
    <w:rsid w:val="004657B7"/>
    <w:rsid w:val="00470DC8"/>
    <w:rsid w:val="00472631"/>
    <w:rsid w:val="00473730"/>
    <w:rsid w:val="00473B84"/>
    <w:rsid w:val="00474232"/>
    <w:rsid w:val="004757ED"/>
    <w:rsid w:val="0047620F"/>
    <w:rsid w:val="00476309"/>
    <w:rsid w:val="0047672D"/>
    <w:rsid w:val="004772F0"/>
    <w:rsid w:val="00477984"/>
    <w:rsid w:val="004802B7"/>
    <w:rsid w:val="004814AA"/>
    <w:rsid w:val="004819FE"/>
    <w:rsid w:val="00481FB2"/>
    <w:rsid w:val="00482125"/>
    <w:rsid w:val="00482917"/>
    <w:rsid w:val="00483C55"/>
    <w:rsid w:val="00484405"/>
    <w:rsid w:val="00486A61"/>
    <w:rsid w:val="00487CC9"/>
    <w:rsid w:val="0049072A"/>
    <w:rsid w:val="00491BC5"/>
    <w:rsid w:val="00491BCA"/>
    <w:rsid w:val="00492A34"/>
    <w:rsid w:val="00493381"/>
    <w:rsid w:val="0049482E"/>
    <w:rsid w:val="00494965"/>
    <w:rsid w:val="00495581"/>
    <w:rsid w:val="00495AA8"/>
    <w:rsid w:val="00496638"/>
    <w:rsid w:val="004A0FB6"/>
    <w:rsid w:val="004A1010"/>
    <w:rsid w:val="004A23DD"/>
    <w:rsid w:val="004A2EB5"/>
    <w:rsid w:val="004A3526"/>
    <w:rsid w:val="004A366D"/>
    <w:rsid w:val="004A3A88"/>
    <w:rsid w:val="004A5124"/>
    <w:rsid w:val="004A5748"/>
    <w:rsid w:val="004A5FAD"/>
    <w:rsid w:val="004A69A2"/>
    <w:rsid w:val="004A6F42"/>
    <w:rsid w:val="004A7CCC"/>
    <w:rsid w:val="004B164A"/>
    <w:rsid w:val="004B2831"/>
    <w:rsid w:val="004B2E84"/>
    <w:rsid w:val="004B3DCF"/>
    <w:rsid w:val="004B4107"/>
    <w:rsid w:val="004B430C"/>
    <w:rsid w:val="004B67FD"/>
    <w:rsid w:val="004B6F80"/>
    <w:rsid w:val="004B7390"/>
    <w:rsid w:val="004B78FF"/>
    <w:rsid w:val="004C14D7"/>
    <w:rsid w:val="004C1526"/>
    <w:rsid w:val="004C2C9A"/>
    <w:rsid w:val="004C30FB"/>
    <w:rsid w:val="004C32A1"/>
    <w:rsid w:val="004C383E"/>
    <w:rsid w:val="004C4583"/>
    <w:rsid w:val="004C4D5D"/>
    <w:rsid w:val="004C6C26"/>
    <w:rsid w:val="004D02C7"/>
    <w:rsid w:val="004D095F"/>
    <w:rsid w:val="004D0ACF"/>
    <w:rsid w:val="004D14A3"/>
    <w:rsid w:val="004D1D6F"/>
    <w:rsid w:val="004D4933"/>
    <w:rsid w:val="004D4BF5"/>
    <w:rsid w:val="004D59FC"/>
    <w:rsid w:val="004D5B18"/>
    <w:rsid w:val="004D688B"/>
    <w:rsid w:val="004E04C3"/>
    <w:rsid w:val="004E062B"/>
    <w:rsid w:val="004E1329"/>
    <w:rsid w:val="004E27AB"/>
    <w:rsid w:val="004E2FC5"/>
    <w:rsid w:val="004E3E11"/>
    <w:rsid w:val="004E4AA9"/>
    <w:rsid w:val="004E6773"/>
    <w:rsid w:val="004E6BE2"/>
    <w:rsid w:val="004F16CF"/>
    <w:rsid w:val="004F19E7"/>
    <w:rsid w:val="004F1BEE"/>
    <w:rsid w:val="004F2966"/>
    <w:rsid w:val="004F44C9"/>
    <w:rsid w:val="004F5410"/>
    <w:rsid w:val="004F55EB"/>
    <w:rsid w:val="004F644B"/>
    <w:rsid w:val="004F67FF"/>
    <w:rsid w:val="004F6F27"/>
    <w:rsid w:val="004F78B2"/>
    <w:rsid w:val="005019A7"/>
    <w:rsid w:val="00502E91"/>
    <w:rsid w:val="005032FA"/>
    <w:rsid w:val="005033B5"/>
    <w:rsid w:val="0050464D"/>
    <w:rsid w:val="005047BB"/>
    <w:rsid w:val="005103AE"/>
    <w:rsid w:val="00510BFD"/>
    <w:rsid w:val="00511101"/>
    <w:rsid w:val="0051125D"/>
    <w:rsid w:val="005128F6"/>
    <w:rsid w:val="0051433A"/>
    <w:rsid w:val="00514483"/>
    <w:rsid w:val="005161E8"/>
    <w:rsid w:val="0051666F"/>
    <w:rsid w:val="00517EA8"/>
    <w:rsid w:val="005202A5"/>
    <w:rsid w:val="00520DB9"/>
    <w:rsid w:val="00521B45"/>
    <w:rsid w:val="00521CE8"/>
    <w:rsid w:val="00522881"/>
    <w:rsid w:val="00522AA6"/>
    <w:rsid w:val="005264CA"/>
    <w:rsid w:val="00526556"/>
    <w:rsid w:val="00526BE8"/>
    <w:rsid w:val="0053060B"/>
    <w:rsid w:val="00530EE7"/>
    <w:rsid w:val="00532B85"/>
    <w:rsid w:val="00535725"/>
    <w:rsid w:val="00535B7E"/>
    <w:rsid w:val="00535FC0"/>
    <w:rsid w:val="005368CD"/>
    <w:rsid w:val="00541607"/>
    <w:rsid w:val="0054185F"/>
    <w:rsid w:val="005418F5"/>
    <w:rsid w:val="00544B32"/>
    <w:rsid w:val="00545471"/>
    <w:rsid w:val="005459A0"/>
    <w:rsid w:val="00547757"/>
    <w:rsid w:val="0055135E"/>
    <w:rsid w:val="00551FD3"/>
    <w:rsid w:val="005530CE"/>
    <w:rsid w:val="005536FA"/>
    <w:rsid w:val="00553902"/>
    <w:rsid w:val="00553E6D"/>
    <w:rsid w:val="005551BF"/>
    <w:rsid w:val="00555C80"/>
    <w:rsid w:val="00555D11"/>
    <w:rsid w:val="00555D2F"/>
    <w:rsid w:val="0055616D"/>
    <w:rsid w:val="00557449"/>
    <w:rsid w:val="005577F3"/>
    <w:rsid w:val="00557971"/>
    <w:rsid w:val="0056023D"/>
    <w:rsid w:val="0056121B"/>
    <w:rsid w:val="00561C90"/>
    <w:rsid w:val="00562DBE"/>
    <w:rsid w:val="00562FB7"/>
    <w:rsid w:val="00563107"/>
    <w:rsid w:val="0056341D"/>
    <w:rsid w:val="005645CA"/>
    <w:rsid w:val="00566B6D"/>
    <w:rsid w:val="00566B8B"/>
    <w:rsid w:val="00567198"/>
    <w:rsid w:val="0057132E"/>
    <w:rsid w:val="00572702"/>
    <w:rsid w:val="005737AA"/>
    <w:rsid w:val="00574A74"/>
    <w:rsid w:val="005756E1"/>
    <w:rsid w:val="00575A81"/>
    <w:rsid w:val="005762DA"/>
    <w:rsid w:val="00576550"/>
    <w:rsid w:val="00576CE6"/>
    <w:rsid w:val="00576FA7"/>
    <w:rsid w:val="00577074"/>
    <w:rsid w:val="00577442"/>
    <w:rsid w:val="005776D4"/>
    <w:rsid w:val="00580126"/>
    <w:rsid w:val="005801BA"/>
    <w:rsid w:val="00580A7E"/>
    <w:rsid w:val="005819FB"/>
    <w:rsid w:val="00581CC9"/>
    <w:rsid w:val="00582DC9"/>
    <w:rsid w:val="005841F9"/>
    <w:rsid w:val="00584259"/>
    <w:rsid w:val="005842F3"/>
    <w:rsid w:val="005853A9"/>
    <w:rsid w:val="005854F2"/>
    <w:rsid w:val="005866BA"/>
    <w:rsid w:val="00587416"/>
    <w:rsid w:val="00587EE0"/>
    <w:rsid w:val="00590D45"/>
    <w:rsid w:val="00591691"/>
    <w:rsid w:val="00592210"/>
    <w:rsid w:val="00592907"/>
    <w:rsid w:val="00594413"/>
    <w:rsid w:val="00597030"/>
    <w:rsid w:val="0059787D"/>
    <w:rsid w:val="005A07E3"/>
    <w:rsid w:val="005A103E"/>
    <w:rsid w:val="005A1328"/>
    <w:rsid w:val="005A1484"/>
    <w:rsid w:val="005A3F08"/>
    <w:rsid w:val="005A4BE1"/>
    <w:rsid w:val="005A6742"/>
    <w:rsid w:val="005A6807"/>
    <w:rsid w:val="005A6EC2"/>
    <w:rsid w:val="005A71B6"/>
    <w:rsid w:val="005A7434"/>
    <w:rsid w:val="005A7566"/>
    <w:rsid w:val="005A7E4B"/>
    <w:rsid w:val="005B0BF6"/>
    <w:rsid w:val="005B1777"/>
    <w:rsid w:val="005B2B5C"/>
    <w:rsid w:val="005B2C14"/>
    <w:rsid w:val="005B3677"/>
    <w:rsid w:val="005B39DE"/>
    <w:rsid w:val="005B40AA"/>
    <w:rsid w:val="005B5271"/>
    <w:rsid w:val="005B6301"/>
    <w:rsid w:val="005B6797"/>
    <w:rsid w:val="005B6B09"/>
    <w:rsid w:val="005B6C1E"/>
    <w:rsid w:val="005C04B1"/>
    <w:rsid w:val="005C07B1"/>
    <w:rsid w:val="005C0D8F"/>
    <w:rsid w:val="005C1033"/>
    <w:rsid w:val="005C1472"/>
    <w:rsid w:val="005C1D5D"/>
    <w:rsid w:val="005C3A42"/>
    <w:rsid w:val="005C3E80"/>
    <w:rsid w:val="005C5407"/>
    <w:rsid w:val="005C5B04"/>
    <w:rsid w:val="005C5D77"/>
    <w:rsid w:val="005C6249"/>
    <w:rsid w:val="005C663B"/>
    <w:rsid w:val="005D26BA"/>
    <w:rsid w:val="005D26BB"/>
    <w:rsid w:val="005D30A1"/>
    <w:rsid w:val="005D37CE"/>
    <w:rsid w:val="005D3D2C"/>
    <w:rsid w:val="005D5618"/>
    <w:rsid w:val="005D5EC4"/>
    <w:rsid w:val="005D74FC"/>
    <w:rsid w:val="005D7A02"/>
    <w:rsid w:val="005E123D"/>
    <w:rsid w:val="005E183A"/>
    <w:rsid w:val="005E18FC"/>
    <w:rsid w:val="005E21F3"/>
    <w:rsid w:val="005E3A11"/>
    <w:rsid w:val="005E3B18"/>
    <w:rsid w:val="005E3CE4"/>
    <w:rsid w:val="005E3D40"/>
    <w:rsid w:val="005E425E"/>
    <w:rsid w:val="005E44E3"/>
    <w:rsid w:val="005E4FFB"/>
    <w:rsid w:val="005E5387"/>
    <w:rsid w:val="005E610B"/>
    <w:rsid w:val="005E6E17"/>
    <w:rsid w:val="005E6EAC"/>
    <w:rsid w:val="005F027D"/>
    <w:rsid w:val="005F06D3"/>
    <w:rsid w:val="005F14B9"/>
    <w:rsid w:val="005F17EF"/>
    <w:rsid w:val="005F1DF6"/>
    <w:rsid w:val="005F2A63"/>
    <w:rsid w:val="005F33B3"/>
    <w:rsid w:val="005F35E3"/>
    <w:rsid w:val="005F3EDA"/>
    <w:rsid w:val="005F4520"/>
    <w:rsid w:val="005F48FA"/>
    <w:rsid w:val="005F5023"/>
    <w:rsid w:val="005F575D"/>
    <w:rsid w:val="005F5DBE"/>
    <w:rsid w:val="005F5F55"/>
    <w:rsid w:val="005F6068"/>
    <w:rsid w:val="005F63AA"/>
    <w:rsid w:val="005F659A"/>
    <w:rsid w:val="005F65A3"/>
    <w:rsid w:val="00601014"/>
    <w:rsid w:val="006014FC"/>
    <w:rsid w:val="00603F8D"/>
    <w:rsid w:val="00604D28"/>
    <w:rsid w:val="00604EEF"/>
    <w:rsid w:val="00604F7C"/>
    <w:rsid w:val="00605DA7"/>
    <w:rsid w:val="00605DED"/>
    <w:rsid w:val="00606B21"/>
    <w:rsid w:val="00606FD6"/>
    <w:rsid w:val="006104CA"/>
    <w:rsid w:val="0061108F"/>
    <w:rsid w:val="006122F1"/>
    <w:rsid w:val="0061314C"/>
    <w:rsid w:val="00615CEC"/>
    <w:rsid w:val="006164CE"/>
    <w:rsid w:val="00617AA9"/>
    <w:rsid w:val="00621186"/>
    <w:rsid w:val="00621644"/>
    <w:rsid w:val="00621674"/>
    <w:rsid w:val="00621B3D"/>
    <w:rsid w:val="00621E88"/>
    <w:rsid w:val="006229A7"/>
    <w:rsid w:val="006238D3"/>
    <w:rsid w:val="006255A7"/>
    <w:rsid w:val="00625BDA"/>
    <w:rsid w:val="00630E30"/>
    <w:rsid w:val="0063334D"/>
    <w:rsid w:val="00633D5B"/>
    <w:rsid w:val="00633FB9"/>
    <w:rsid w:val="00637082"/>
    <w:rsid w:val="00637990"/>
    <w:rsid w:val="00637CC3"/>
    <w:rsid w:val="00640BC8"/>
    <w:rsid w:val="00640DE9"/>
    <w:rsid w:val="0064130B"/>
    <w:rsid w:val="00641C9D"/>
    <w:rsid w:val="0064255E"/>
    <w:rsid w:val="006432F3"/>
    <w:rsid w:val="00643535"/>
    <w:rsid w:val="0064360C"/>
    <w:rsid w:val="00644E18"/>
    <w:rsid w:val="00646F00"/>
    <w:rsid w:val="00650DD3"/>
    <w:rsid w:val="00653664"/>
    <w:rsid w:val="00654893"/>
    <w:rsid w:val="0065619C"/>
    <w:rsid w:val="00656747"/>
    <w:rsid w:val="00657479"/>
    <w:rsid w:val="0065783C"/>
    <w:rsid w:val="00657CD0"/>
    <w:rsid w:val="00657CE5"/>
    <w:rsid w:val="00657E1D"/>
    <w:rsid w:val="00660B88"/>
    <w:rsid w:val="00661C81"/>
    <w:rsid w:val="00661F40"/>
    <w:rsid w:val="00662876"/>
    <w:rsid w:val="00663097"/>
    <w:rsid w:val="00663673"/>
    <w:rsid w:val="00664BE1"/>
    <w:rsid w:val="00666DF1"/>
    <w:rsid w:val="00667348"/>
    <w:rsid w:val="00667992"/>
    <w:rsid w:val="00667F15"/>
    <w:rsid w:val="00670384"/>
    <w:rsid w:val="00673430"/>
    <w:rsid w:val="00673722"/>
    <w:rsid w:val="0067454C"/>
    <w:rsid w:val="00675022"/>
    <w:rsid w:val="00675080"/>
    <w:rsid w:val="006752D4"/>
    <w:rsid w:val="00675973"/>
    <w:rsid w:val="00676448"/>
    <w:rsid w:val="00676674"/>
    <w:rsid w:val="006766C3"/>
    <w:rsid w:val="00677B50"/>
    <w:rsid w:val="00680173"/>
    <w:rsid w:val="006811CB"/>
    <w:rsid w:val="00681378"/>
    <w:rsid w:val="006834B3"/>
    <w:rsid w:val="00683E25"/>
    <w:rsid w:val="00684FCE"/>
    <w:rsid w:val="0068693E"/>
    <w:rsid w:val="00686BD1"/>
    <w:rsid w:val="00686D2E"/>
    <w:rsid w:val="00686E03"/>
    <w:rsid w:val="00690239"/>
    <w:rsid w:val="0069171A"/>
    <w:rsid w:val="00691E78"/>
    <w:rsid w:val="00692934"/>
    <w:rsid w:val="0069432B"/>
    <w:rsid w:val="00695414"/>
    <w:rsid w:val="006977EA"/>
    <w:rsid w:val="00697D61"/>
    <w:rsid w:val="006A25F1"/>
    <w:rsid w:val="006A2A45"/>
    <w:rsid w:val="006A2FB1"/>
    <w:rsid w:val="006A3078"/>
    <w:rsid w:val="006A5B89"/>
    <w:rsid w:val="006B0FD6"/>
    <w:rsid w:val="006B15AC"/>
    <w:rsid w:val="006B1698"/>
    <w:rsid w:val="006B17B9"/>
    <w:rsid w:val="006B1A75"/>
    <w:rsid w:val="006B3613"/>
    <w:rsid w:val="006B47A9"/>
    <w:rsid w:val="006B4E1E"/>
    <w:rsid w:val="006B4EB3"/>
    <w:rsid w:val="006B539F"/>
    <w:rsid w:val="006B5D6D"/>
    <w:rsid w:val="006B5F5A"/>
    <w:rsid w:val="006B6154"/>
    <w:rsid w:val="006B6BF4"/>
    <w:rsid w:val="006C0398"/>
    <w:rsid w:val="006C06E6"/>
    <w:rsid w:val="006C0C66"/>
    <w:rsid w:val="006C1E59"/>
    <w:rsid w:val="006C3E62"/>
    <w:rsid w:val="006C3EC9"/>
    <w:rsid w:val="006C5392"/>
    <w:rsid w:val="006C60DA"/>
    <w:rsid w:val="006C633A"/>
    <w:rsid w:val="006C64BE"/>
    <w:rsid w:val="006C6E1F"/>
    <w:rsid w:val="006C74A3"/>
    <w:rsid w:val="006C7BF9"/>
    <w:rsid w:val="006D140C"/>
    <w:rsid w:val="006D1464"/>
    <w:rsid w:val="006D16C4"/>
    <w:rsid w:val="006D22FF"/>
    <w:rsid w:val="006D27F5"/>
    <w:rsid w:val="006D48A4"/>
    <w:rsid w:val="006D4A84"/>
    <w:rsid w:val="006D5CE9"/>
    <w:rsid w:val="006D70EC"/>
    <w:rsid w:val="006D712C"/>
    <w:rsid w:val="006D74B8"/>
    <w:rsid w:val="006D7630"/>
    <w:rsid w:val="006D7769"/>
    <w:rsid w:val="006E03DC"/>
    <w:rsid w:val="006E0472"/>
    <w:rsid w:val="006E0520"/>
    <w:rsid w:val="006E36DC"/>
    <w:rsid w:val="006E414C"/>
    <w:rsid w:val="006E50A4"/>
    <w:rsid w:val="006E52C2"/>
    <w:rsid w:val="006E5C67"/>
    <w:rsid w:val="006E640A"/>
    <w:rsid w:val="006E6615"/>
    <w:rsid w:val="006E790C"/>
    <w:rsid w:val="006F0EF2"/>
    <w:rsid w:val="006F139F"/>
    <w:rsid w:val="006F30F5"/>
    <w:rsid w:val="006F3668"/>
    <w:rsid w:val="006F506D"/>
    <w:rsid w:val="006F52AF"/>
    <w:rsid w:val="006F53CE"/>
    <w:rsid w:val="006F53E0"/>
    <w:rsid w:val="006F569A"/>
    <w:rsid w:val="006F57C9"/>
    <w:rsid w:val="006F799E"/>
    <w:rsid w:val="0070027F"/>
    <w:rsid w:val="007058D7"/>
    <w:rsid w:val="007078E7"/>
    <w:rsid w:val="00710E3C"/>
    <w:rsid w:val="00711B56"/>
    <w:rsid w:val="00714463"/>
    <w:rsid w:val="00714D9D"/>
    <w:rsid w:val="00715337"/>
    <w:rsid w:val="00716F47"/>
    <w:rsid w:val="007202AD"/>
    <w:rsid w:val="0072143C"/>
    <w:rsid w:val="00721CFE"/>
    <w:rsid w:val="00721F59"/>
    <w:rsid w:val="00722475"/>
    <w:rsid w:val="00722719"/>
    <w:rsid w:val="0072344F"/>
    <w:rsid w:val="0072593D"/>
    <w:rsid w:val="007259DD"/>
    <w:rsid w:val="00725BC3"/>
    <w:rsid w:val="0072706E"/>
    <w:rsid w:val="00727FF5"/>
    <w:rsid w:val="0073058E"/>
    <w:rsid w:val="00731386"/>
    <w:rsid w:val="00731AD5"/>
    <w:rsid w:val="00731BF9"/>
    <w:rsid w:val="00733FDB"/>
    <w:rsid w:val="007348D3"/>
    <w:rsid w:val="0073600B"/>
    <w:rsid w:val="0073639E"/>
    <w:rsid w:val="007369B9"/>
    <w:rsid w:val="00736B01"/>
    <w:rsid w:val="00737C99"/>
    <w:rsid w:val="00741069"/>
    <w:rsid w:val="00741953"/>
    <w:rsid w:val="00741BDB"/>
    <w:rsid w:val="00742399"/>
    <w:rsid w:val="00743BBB"/>
    <w:rsid w:val="00743D35"/>
    <w:rsid w:val="00744FB7"/>
    <w:rsid w:val="00747E34"/>
    <w:rsid w:val="0075148D"/>
    <w:rsid w:val="007519FE"/>
    <w:rsid w:val="00751C93"/>
    <w:rsid w:val="00752328"/>
    <w:rsid w:val="007523B8"/>
    <w:rsid w:val="00752B0B"/>
    <w:rsid w:val="00753587"/>
    <w:rsid w:val="007546F1"/>
    <w:rsid w:val="00755147"/>
    <w:rsid w:val="00755227"/>
    <w:rsid w:val="007607A8"/>
    <w:rsid w:val="007620EB"/>
    <w:rsid w:val="00763D1A"/>
    <w:rsid w:val="007647DD"/>
    <w:rsid w:val="00765A3C"/>
    <w:rsid w:val="007669D7"/>
    <w:rsid w:val="00766F43"/>
    <w:rsid w:val="00767856"/>
    <w:rsid w:val="00767A57"/>
    <w:rsid w:val="00771A98"/>
    <w:rsid w:val="00772ED3"/>
    <w:rsid w:val="007736AD"/>
    <w:rsid w:val="0077419D"/>
    <w:rsid w:val="00775933"/>
    <w:rsid w:val="00775C93"/>
    <w:rsid w:val="0077730B"/>
    <w:rsid w:val="0077737E"/>
    <w:rsid w:val="00777E0E"/>
    <w:rsid w:val="00780BC1"/>
    <w:rsid w:val="00780D06"/>
    <w:rsid w:val="00780F29"/>
    <w:rsid w:val="007825C7"/>
    <w:rsid w:val="00782ECA"/>
    <w:rsid w:val="00783138"/>
    <w:rsid w:val="00784EDB"/>
    <w:rsid w:val="00785123"/>
    <w:rsid w:val="007854C6"/>
    <w:rsid w:val="0078551B"/>
    <w:rsid w:val="00786FE1"/>
    <w:rsid w:val="00787371"/>
    <w:rsid w:val="00787951"/>
    <w:rsid w:val="007879C7"/>
    <w:rsid w:val="00790764"/>
    <w:rsid w:val="007941D3"/>
    <w:rsid w:val="00795559"/>
    <w:rsid w:val="00795845"/>
    <w:rsid w:val="00797E38"/>
    <w:rsid w:val="007A0A62"/>
    <w:rsid w:val="007A1993"/>
    <w:rsid w:val="007A1F1E"/>
    <w:rsid w:val="007A1FCD"/>
    <w:rsid w:val="007A21EA"/>
    <w:rsid w:val="007A67DC"/>
    <w:rsid w:val="007A6DD2"/>
    <w:rsid w:val="007A79FB"/>
    <w:rsid w:val="007A7EA9"/>
    <w:rsid w:val="007B07AD"/>
    <w:rsid w:val="007B30D8"/>
    <w:rsid w:val="007B50C2"/>
    <w:rsid w:val="007B5667"/>
    <w:rsid w:val="007B6363"/>
    <w:rsid w:val="007B6524"/>
    <w:rsid w:val="007B6CDA"/>
    <w:rsid w:val="007B731A"/>
    <w:rsid w:val="007B768C"/>
    <w:rsid w:val="007B77ED"/>
    <w:rsid w:val="007C013E"/>
    <w:rsid w:val="007C0A9C"/>
    <w:rsid w:val="007C181A"/>
    <w:rsid w:val="007C3BE8"/>
    <w:rsid w:val="007C3D86"/>
    <w:rsid w:val="007C456E"/>
    <w:rsid w:val="007C4E26"/>
    <w:rsid w:val="007C6B23"/>
    <w:rsid w:val="007C6FA9"/>
    <w:rsid w:val="007C76AA"/>
    <w:rsid w:val="007C77AF"/>
    <w:rsid w:val="007C79B2"/>
    <w:rsid w:val="007D051E"/>
    <w:rsid w:val="007D1A64"/>
    <w:rsid w:val="007D1FB7"/>
    <w:rsid w:val="007D2AE8"/>
    <w:rsid w:val="007D3B3E"/>
    <w:rsid w:val="007D445C"/>
    <w:rsid w:val="007D61A7"/>
    <w:rsid w:val="007D6EEB"/>
    <w:rsid w:val="007D6F09"/>
    <w:rsid w:val="007D7631"/>
    <w:rsid w:val="007D7930"/>
    <w:rsid w:val="007E011D"/>
    <w:rsid w:val="007E011F"/>
    <w:rsid w:val="007E1606"/>
    <w:rsid w:val="007E165D"/>
    <w:rsid w:val="007E25D9"/>
    <w:rsid w:val="007E309F"/>
    <w:rsid w:val="007E565E"/>
    <w:rsid w:val="007E6482"/>
    <w:rsid w:val="007E64C8"/>
    <w:rsid w:val="007E672A"/>
    <w:rsid w:val="007E6839"/>
    <w:rsid w:val="007F002B"/>
    <w:rsid w:val="007F3631"/>
    <w:rsid w:val="007F492C"/>
    <w:rsid w:val="007F4C74"/>
    <w:rsid w:val="007F4D5E"/>
    <w:rsid w:val="007F66D0"/>
    <w:rsid w:val="007F69FB"/>
    <w:rsid w:val="00801390"/>
    <w:rsid w:val="00801657"/>
    <w:rsid w:val="00801943"/>
    <w:rsid w:val="00803113"/>
    <w:rsid w:val="00804793"/>
    <w:rsid w:val="00804AB3"/>
    <w:rsid w:val="00805794"/>
    <w:rsid w:val="00805F31"/>
    <w:rsid w:val="008063BF"/>
    <w:rsid w:val="008076BB"/>
    <w:rsid w:val="00807960"/>
    <w:rsid w:val="0081053C"/>
    <w:rsid w:val="00810765"/>
    <w:rsid w:val="00810BEE"/>
    <w:rsid w:val="00810EB2"/>
    <w:rsid w:val="00812DBB"/>
    <w:rsid w:val="00813165"/>
    <w:rsid w:val="00813805"/>
    <w:rsid w:val="00814C7E"/>
    <w:rsid w:val="00815BAB"/>
    <w:rsid w:val="008165F8"/>
    <w:rsid w:val="00817314"/>
    <w:rsid w:val="00817A3F"/>
    <w:rsid w:val="00820E42"/>
    <w:rsid w:val="0082183C"/>
    <w:rsid w:val="008229CA"/>
    <w:rsid w:val="0082477F"/>
    <w:rsid w:val="008248DA"/>
    <w:rsid w:val="00825384"/>
    <w:rsid w:val="00825A71"/>
    <w:rsid w:val="008308F4"/>
    <w:rsid w:val="008338B7"/>
    <w:rsid w:val="00833ABA"/>
    <w:rsid w:val="00833BBB"/>
    <w:rsid w:val="00833E0E"/>
    <w:rsid w:val="008348DB"/>
    <w:rsid w:val="0083541B"/>
    <w:rsid w:val="008356FA"/>
    <w:rsid w:val="00836801"/>
    <w:rsid w:val="00840B6B"/>
    <w:rsid w:val="00840E88"/>
    <w:rsid w:val="00843804"/>
    <w:rsid w:val="008441DF"/>
    <w:rsid w:val="0084592D"/>
    <w:rsid w:val="00845CB8"/>
    <w:rsid w:val="008468E8"/>
    <w:rsid w:val="008472D9"/>
    <w:rsid w:val="00850519"/>
    <w:rsid w:val="008508EF"/>
    <w:rsid w:val="00850988"/>
    <w:rsid w:val="0085099B"/>
    <w:rsid w:val="00851AB3"/>
    <w:rsid w:val="00851B65"/>
    <w:rsid w:val="00851B89"/>
    <w:rsid w:val="00853130"/>
    <w:rsid w:val="00855423"/>
    <w:rsid w:val="00855AC4"/>
    <w:rsid w:val="00855B4C"/>
    <w:rsid w:val="00856117"/>
    <w:rsid w:val="00856843"/>
    <w:rsid w:val="00856965"/>
    <w:rsid w:val="00857C4C"/>
    <w:rsid w:val="00862426"/>
    <w:rsid w:val="0086307E"/>
    <w:rsid w:val="00863415"/>
    <w:rsid w:val="008638AD"/>
    <w:rsid w:val="008641ED"/>
    <w:rsid w:val="00864944"/>
    <w:rsid w:val="00864CA3"/>
    <w:rsid w:val="0086636E"/>
    <w:rsid w:val="00866977"/>
    <w:rsid w:val="00870874"/>
    <w:rsid w:val="00870C0E"/>
    <w:rsid w:val="00870E19"/>
    <w:rsid w:val="008720F9"/>
    <w:rsid w:val="00872252"/>
    <w:rsid w:val="00872506"/>
    <w:rsid w:val="0087597C"/>
    <w:rsid w:val="00876174"/>
    <w:rsid w:val="008768D6"/>
    <w:rsid w:val="0087738A"/>
    <w:rsid w:val="00877E91"/>
    <w:rsid w:val="008809F7"/>
    <w:rsid w:val="00880A7B"/>
    <w:rsid w:val="0088113B"/>
    <w:rsid w:val="008813F5"/>
    <w:rsid w:val="00881F67"/>
    <w:rsid w:val="008824D8"/>
    <w:rsid w:val="00883189"/>
    <w:rsid w:val="00883256"/>
    <w:rsid w:val="008832E6"/>
    <w:rsid w:val="00884DBC"/>
    <w:rsid w:val="00885ED2"/>
    <w:rsid w:val="00886B71"/>
    <w:rsid w:val="00890727"/>
    <w:rsid w:val="008920DF"/>
    <w:rsid w:val="008920F0"/>
    <w:rsid w:val="0089346F"/>
    <w:rsid w:val="008937FB"/>
    <w:rsid w:val="00893FBC"/>
    <w:rsid w:val="008945A4"/>
    <w:rsid w:val="00894F64"/>
    <w:rsid w:val="00897582"/>
    <w:rsid w:val="008A09F9"/>
    <w:rsid w:val="008A0D57"/>
    <w:rsid w:val="008A0F76"/>
    <w:rsid w:val="008A1158"/>
    <w:rsid w:val="008A11D3"/>
    <w:rsid w:val="008A146B"/>
    <w:rsid w:val="008A1A14"/>
    <w:rsid w:val="008A2662"/>
    <w:rsid w:val="008A2D72"/>
    <w:rsid w:val="008A3A93"/>
    <w:rsid w:val="008A4068"/>
    <w:rsid w:val="008A426F"/>
    <w:rsid w:val="008B0D9B"/>
    <w:rsid w:val="008B200A"/>
    <w:rsid w:val="008B27C5"/>
    <w:rsid w:val="008B2B9A"/>
    <w:rsid w:val="008B39A8"/>
    <w:rsid w:val="008B3F63"/>
    <w:rsid w:val="008B581B"/>
    <w:rsid w:val="008B6F83"/>
    <w:rsid w:val="008B78E1"/>
    <w:rsid w:val="008B7A4D"/>
    <w:rsid w:val="008C0D1C"/>
    <w:rsid w:val="008C1563"/>
    <w:rsid w:val="008C26B4"/>
    <w:rsid w:val="008C3090"/>
    <w:rsid w:val="008C3B63"/>
    <w:rsid w:val="008C3DB2"/>
    <w:rsid w:val="008C4628"/>
    <w:rsid w:val="008C4B89"/>
    <w:rsid w:val="008C5CF4"/>
    <w:rsid w:val="008C5F82"/>
    <w:rsid w:val="008C72FC"/>
    <w:rsid w:val="008C7849"/>
    <w:rsid w:val="008C7961"/>
    <w:rsid w:val="008D0D62"/>
    <w:rsid w:val="008D14BD"/>
    <w:rsid w:val="008D2A56"/>
    <w:rsid w:val="008D36E0"/>
    <w:rsid w:val="008D379E"/>
    <w:rsid w:val="008D3A64"/>
    <w:rsid w:val="008D3BDF"/>
    <w:rsid w:val="008D4E15"/>
    <w:rsid w:val="008D7F0E"/>
    <w:rsid w:val="008E0778"/>
    <w:rsid w:val="008E33F2"/>
    <w:rsid w:val="008E3B6B"/>
    <w:rsid w:val="008E3E2C"/>
    <w:rsid w:val="008E4624"/>
    <w:rsid w:val="008E5553"/>
    <w:rsid w:val="008E5A51"/>
    <w:rsid w:val="008E5D35"/>
    <w:rsid w:val="008E6C36"/>
    <w:rsid w:val="008F0196"/>
    <w:rsid w:val="008F3FF1"/>
    <w:rsid w:val="008F48C3"/>
    <w:rsid w:val="008F53B9"/>
    <w:rsid w:val="008F5E32"/>
    <w:rsid w:val="008F668C"/>
    <w:rsid w:val="008F7554"/>
    <w:rsid w:val="008F7B90"/>
    <w:rsid w:val="00900299"/>
    <w:rsid w:val="009008FD"/>
    <w:rsid w:val="00901A04"/>
    <w:rsid w:val="00904958"/>
    <w:rsid w:val="009051EC"/>
    <w:rsid w:val="00905754"/>
    <w:rsid w:val="00905C39"/>
    <w:rsid w:val="0090622F"/>
    <w:rsid w:val="009079E2"/>
    <w:rsid w:val="00907B04"/>
    <w:rsid w:val="009106BB"/>
    <w:rsid w:val="00910773"/>
    <w:rsid w:val="0091085A"/>
    <w:rsid w:val="00911B99"/>
    <w:rsid w:val="0091222D"/>
    <w:rsid w:val="0091322B"/>
    <w:rsid w:val="00914DCF"/>
    <w:rsid w:val="009154B2"/>
    <w:rsid w:val="00915D0B"/>
    <w:rsid w:val="00915F5C"/>
    <w:rsid w:val="00915FB1"/>
    <w:rsid w:val="009160E3"/>
    <w:rsid w:val="00916416"/>
    <w:rsid w:val="009174A3"/>
    <w:rsid w:val="009174AA"/>
    <w:rsid w:val="009203C7"/>
    <w:rsid w:val="00921372"/>
    <w:rsid w:val="009233DA"/>
    <w:rsid w:val="00923F20"/>
    <w:rsid w:val="0092505E"/>
    <w:rsid w:val="00927698"/>
    <w:rsid w:val="009279BE"/>
    <w:rsid w:val="00930D5E"/>
    <w:rsid w:val="0093107C"/>
    <w:rsid w:val="009314F9"/>
    <w:rsid w:val="00931E8D"/>
    <w:rsid w:val="00933687"/>
    <w:rsid w:val="00934EF5"/>
    <w:rsid w:val="00935E37"/>
    <w:rsid w:val="009364F4"/>
    <w:rsid w:val="00941702"/>
    <w:rsid w:val="00943150"/>
    <w:rsid w:val="00943840"/>
    <w:rsid w:val="009448A4"/>
    <w:rsid w:val="00944F9D"/>
    <w:rsid w:val="00945108"/>
    <w:rsid w:val="0094571E"/>
    <w:rsid w:val="00945A67"/>
    <w:rsid w:val="00945AB5"/>
    <w:rsid w:val="009464FC"/>
    <w:rsid w:val="0094739B"/>
    <w:rsid w:val="009523F5"/>
    <w:rsid w:val="00952435"/>
    <w:rsid w:val="0095247C"/>
    <w:rsid w:val="009554EF"/>
    <w:rsid w:val="00956926"/>
    <w:rsid w:val="009574F7"/>
    <w:rsid w:val="00957872"/>
    <w:rsid w:val="009579B4"/>
    <w:rsid w:val="00960014"/>
    <w:rsid w:val="0096207C"/>
    <w:rsid w:val="00965573"/>
    <w:rsid w:val="00970282"/>
    <w:rsid w:val="00970A77"/>
    <w:rsid w:val="00970D32"/>
    <w:rsid w:val="00970D8F"/>
    <w:rsid w:val="00971633"/>
    <w:rsid w:val="0097270E"/>
    <w:rsid w:val="00974B2C"/>
    <w:rsid w:val="00975004"/>
    <w:rsid w:val="009755CB"/>
    <w:rsid w:val="009771FF"/>
    <w:rsid w:val="00982052"/>
    <w:rsid w:val="00982336"/>
    <w:rsid w:val="00985AB7"/>
    <w:rsid w:val="00985B4B"/>
    <w:rsid w:val="00985C36"/>
    <w:rsid w:val="0098615C"/>
    <w:rsid w:val="00986556"/>
    <w:rsid w:val="00986E6D"/>
    <w:rsid w:val="00986E8F"/>
    <w:rsid w:val="00986EA0"/>
    <w:rsid w:val="009874FD"/>
    <w:rsid w:val="00987595"/>
    <w:rsid w:val="0099030A"/>
    <w:rsid w:val="00990689"/>
    <w:rsid w:val="009913D1"/>
    <w:rsid w:val="009928F7"/>
    <w:rsid w:val="00995643"/>
    <w:rsid w:val="00995F20"/>
    <w:rsid w:val="00995F39"/>
    <w:rsid w:val="00997449"/>
    <w:rsid w:val="009A0672"/>
    <w:rsid w:val="009A1C36"/>
    <w:rsid w:val="009A49D9"/>
    <w:rsid w:val="009A52C1"/>
    <w:rsid w:val="009A5B37"/>
    <w:rsid w:val="009A5CE3"/>
    <w:rsid w:val="009A60C7"/>
    <w:rsid w:val="009A6EBA"/>
    <w:rsid w:val="009A7376"/>
    <w:rsid w:val="009B230A"/>
    <w:rsid w:val="009B2EC8"/>
    <w:rsid w:val="009B3205"/>
    <w:rsid w:val="009B36B5"/>
    <w:rsid w:val="009B4E86"/>
    <w:rsid w:val="009B5E0A"/>
    <w:rsid w:val="009B6691"/>
    <w:rsid w:val="009B6890"/>
    <w:rsid w:val="009B6947"/>
    <w:rsid w:val="009B7A8E"/>
    <w:rsid w:val="009C12F6"/>
    <w:rsid w:val="009C39B0"/>
    <w:rsid w:val="009C4955"/>
    <w:rsid w:val="009C6861"/>
    <w:rsid w:val="009C7472"/>
    <w:rsid w:val="009C7F80"/>
    <w:rsid w:val="009D12E7"/>
    <w:rsid w:val="009D16C8"/>
    <w:rsid w:val="009D2790"/>
    <w:rsid w:val="009D2974"/>
    <w:rsid w:val="009D2B06"/>
    <w:rsid w:val="009D3800"/>
    <w:rsid w:val="009D4E90"/>
    <w:rsid w:val="009D7CC4"/>
    <w:rsid w:val="009E0899"/>
    <w:rsid w:val="009E0B5B"/>
    <w:rsid w:val="009E113D"/>
    <w:rsid w:val="009E2220"/>
    <w:rsid w:val="009E24A3"/>
    <w:rsid w:val="009E2A18"/>
    <w:rsid w:val="009E3EC0"/>
    <w:rsid w:val="009E3FBA"/>
    <w:rsid w:val="009E4781"/>
    <w:rsid w:val="009E5013"/>
    <w:rsid w:val="009E5F4F"/>
    <w:rsid w:val="009E6B23"/>
    <w:rsid w:val="009E6FA9"/>
    <w:rsid w:val="009E7F8C"/>
    <w:rsid w:val="009F02D4"/>
    <w:rsid w:val="009F0B88"/>
    <w:rsid w:val="009F1C18"/>
    <w:rsid w:val="009F2BE4"/>
    <w:rsid w:val="009F2FDD"/>
    <w:rsid w:val="009F344F"/>
    <w:rsid w:val="009F50AF"/>
    <w:rsid w:val="009F6013"/>
    <w:rsid w:val="00A0060A"/>
    <w:rsid w:val="00A016F8"/>
    <w:rsid w:val="00A01FBB"/>
    <w:rsid w:val="00A031F4"/>
    <w:rsid w:val="00A059BE"/>
    <w:rsid w:val="00A05D74"/>
    <w:rsid w:val="00A05E42"/>
    <w:rsid w:val="00A06D55"/>
    <w:rsid w:val="00A06EAB"/>
    <w:rsid w:val="00A07651"/>
    <w:rsid w:val="00A07D1D"/>
    <w:rsid w:val="00A127B9"/>
    <w:rsid w:val="00A12B18"/>
    <w:rsid w:val="00A14564"/>
    <w:rsid w:val="00A1701E"/>
    <w:rsid w:val="00A209DE"/>
    <w:rsid w:val="00A20D58"/>
    <w:rsid w:val="00A20E26"/>
    <w:rsid w:val="00A2205D"/>
    <w:rsid w:val="00A22201"/>
    <w:rsid w:val="00A2275E"/>
    <w:rsid w:val="00A233EA"/>
    <w:rsid w:val="00A240D5"/>
    <w:rsid w:val="00A24200"/>
    <w:rsid w:val="00A2451E"/>
    <w:rsid w:val="00A24D9A"/>
    <w:rsid w:val="00A270A4"/>
    <w:rsid w:val="00A2787A"/>
    <w:rsid w:val="00A30B8F"/>
    <w:rsid w:val="00A32C2B"/>
    <w:rsid w:val="00A34644"/>
    <w:rsid w:val="00A35416"/>
    <w:rsid w:val="00A40D30"/>
    <w:rsid w:val="00A4119E"/>
    <w:rsid w:val="00A41C99"/>
    <w:rsid w:val="00A43326"/>
    <w:rsid w:val="00A4549B"/>
    <w:rsid w:val="00A4649B"/>
    <w:rsid w:val="00A46661"/>
    <w:rsid w:val="00A472E6"/>
    <w:rsid w:val="00A50D8D"/>
    <w:rsid w:val="00A5102F"/>
    <w:rsid w:val="00A530D0"/>
    <w:rsid w:val="00A53BAA"/>
    <w:rsid w:val="00A540FE"/>
    <w:rsid w:val="00A5566C"/>
    <w:rsid w:val="00A55859"/>
    <w:rsid w:val="00A55CC4"/>
    <w:rsid w:val="00A568D8"/>
    <w:rsid w:val="00A575E8"/>
    <w:rsid w:val="00A609B5"/>
    <w:rsid w:val="00A62AB0"/>
    <w:rsid w:val="00A6393A"/>
    <w:rsid w:val="00A64881"/>
    <w:rsid w:val="00A70961"/>
    <w:rsid w:val="00A70A74"/>
    <w:rsid w:val="00A70EEB"/>
    <w:rsid w:val="00A70F80"/>
    <w:rsid w:val="00A71540"/>
    <w:rsid w:val="00A71B86"/>
    <w:rsid w:val="00A7561E"/>
    <w:rsid w:val="00A763CC"/>
    <w:rsid w:val="00A76E6E"/>
    <w:rsid w:val="00A77A67"/>
    <w:rsid w:val="00A77FA6"/>
    <w:rsid w:val="00A80713"/>
    <w:rsid w:val="00A8086A"/>
    <w:rsid w:val="00A81706"/>
    <w:rsid w:val="00A81AEA"/>
    <w:rsid w:val="00A82366"/>
    <w:rsid w:val="00A845EA"/>
    <w:rsid w:val="00A8526E"/>
    <w:rsid w:val="00A85985"/>
    <w:rsid w:val="00A86613"/>
    <w:rsid w:val="00A876C6"/>
    <w:rsid w:val="00A877AE"/>
    <w:rsid w:val="00A90036"/>
    <w:rsid w:val="00A907DE"/>
    <w:rsid w:val="00A912FE"/>
    <w:rsid w:val="00A937A9"/>
    <w:rsid w:val="00A93D09"/>
    <w:rsid w:val="00A95090"/>
    <w:rsid w:val="00A9538F"/>
    <w:rsid w:val="00A95CEE"/>
    <w:rsid w:val="00A96E44"/>
    <w:rsid w:val="00A9799E"/>
    <w:rsid w:val="00AA04FA"/>
    <w:rsid w:val="00AA0547"/>
    <w:rsid w:val="00AA0B50"/>
    <w:rsid w:val="00AA0F24"/>
    <w:rsid w:val="00AA1E68"/>
    <w:rsid w:val="00AA3BD1"/>
    <w:rsid w:val="00AA4EC6"/>
    <w:rsid w:val="00AA5716"/>
    <w:rsid w:val="00AA6A5C"/>
    <w:rsid w:val="00AA6D51"/>
    <w:rsid w:val="00AA7492"/>
    <w:rsid w:val="00AA7515"/>
    <w:rsid w:val="00AA77F2"/>
    <w:rsid w:val="00AA7D41"/>
    <w:rsid w:val="00AB2FCF"/>
    <w:rsid w:val="00AB46A9"/>
    <w:rsid w:val="00AB4BA1"/>
    <w:rsid w:val="00AB583E"/>
    <w:rsid w:val="00AB6374"/>
    <w:rsid w:val="00AB6810"/>
    <w:rsid w:val="00AB7B9C"/>
    <w:rsid w:val="00AB7F6C"/>
    <w:rsid w:val="00AB7FC9"/>
    <w:rsid w:val="00AC300C"/>
    <w:rsid w:val="00AC3CDA"/>
    <w:rsid w:val="00AC401D"/>
    <w:rsid w:val="00AC4158"/>
    <w:rsid w:val="00AC481C"/>
    <w:rsid w:val="00AC4A53"/>
    <w:rsid w:val="00AC5BD9"/>
    <w:rsid w:val="00AC676F"/>
    <w:rsid w:val="00AC7236"/>
    <w:rsid w:val="00AC7ADB"/>
    <w:rsid w:val="00AD0D0A"/>
    <w:rsid w:val="00AD0ECF"/>
    <w:rsid w:val="00AD0F60"/>
    <w:rsid w:val="00AD1AB7"/>
    <w:rsid w:val="00AD2496"/>
    <w:rsid w:val="00AD2519"/>
    <w:rsid w:val="00AD2970"/>
    <w:rsid w:val="00AD369C"/>
    <w:rsid w:val="00AD3916"/>
    <w:rsid w:val="00AD49D4"/>
    <w:rsid w:val="00AD4D9E"/>
    <w:rsid w:val="00AD7BF1"/>
    <w:rsid w:val="00AE0C2B"/>
    <w:rsid w:val="00AE1C59"/>
    <w:rsid w:val="00AE2FED"/>
    <w:rsid w:val="00AE3DE2"/>
    <w:rsid w:val="00AE3E20"/>
    <w:rsid w:val="00AE3F98"/>
    <w:rsid w:val="00AE4AF6"/>
    <w:rsid w:val="00AE4F2A"/>
    <w:rsid w:val="00AE5BF9"/>
    <w:rsid w:val="00AE5DA0"/>
    <w:rsid w:val="00AE5E77"/>
    <w:rsid w:val="00AE7480"/>
    <w:rsid w:val="00AE78C6"/>
    <w:rsid w:val="00AF0408"/>
    <w:rsid w:val="00AF24C9"/>
    <w:rsid w:val="00AF3BE4"/>
    <w:rsid w:val="00AF3C52"/>
    <w:rsid w:val="00AF4C5B"/>
    <w:rsid w:val="00AF4C93"/>
    <w:rsid w:val="00AF5069"/>
    <w:rsid w:val="00AF5082"/>
    <w:rsid w:val="00AF5460"/>
    <w:rsid w:val="00AF66BD"/>
    <w:rsid w:val="00B00192"/>
    <w:rsid w:val="00B01039"/>
    <w:rsid w:val="00B01329"/>
    <w:rsid w:val="00B0259B"/>
    <w:rsid w:val="00B03D24"/>
    <w:rsid w:val="00B045AC"/>
    <w:rsid w:val="00B07B7D"/>
    <w:rsid w:val="00B07DDE"/>
    <w:rsid w:val="00B110CB"/>
    <w:rsid w:val="00B1191B"/>
    <w:rsid w:val="00B122A6"/>
    <w:rsid w:val="00B127C5"/>
    <w:rsid w:val="00B13763"/>
    <w:rsid w:val="00B13B3D"/>
    <w:rsid w:val="00B14623"/>
    <w:rsid w:val="00B14DE1"/>
    <w:rsid w:val="00B170B6"/>
    <w:rsid w:val="00B20869"/>
    <w:rsid w:val="00B21332"/>
    <w:rsid w:val="00B23B08"/>
    <w:rsid w:val="00B25429"/>
    <w:rsid w:val="00B26542"/>
    <w:rsid w:val="00B2713D"/>
    <w:rsid w:val="00B3006F"/>
    <w:rsid w:val="00B3038F"/>
    <w:rsid w:val="00B31289"/>
    <w:rsid w:val="00B31991"/>
    <w:rsid w:val="00B31EA6"/>
    <w:rsid w:val="00B32C7C"/>
    <w:rsid w:val="00B34789"/>
    <w:rsid w:val="00B34AFD"/>
    <w:rsid w:val="00B3557D"/>
    <w:rsid w:val="00B356B5"/>
    <w:rsid w:val="00B3591D"/>
    <w:rsid w:val="00B37502"/>
    <w:rsid w:val="00B40008"/>
    <w:rsid w:val="00B431D9"/>
    <w:rsid w:val="00B43B82"/>
    <w:rsid w:val="00B44B0D"/>
    <w:rsid w:val="00B44CD6"/>
    <w:rsid w:val="00B46D43"/>
    <w:rsid w:val="00B47E75"/>
    <w:rsid w:val="00B504B4"/>
    <w:rsid w:val="00B50A80"/>
    <w:rsid w:val="00B50D82"/>
    <w:rsid w:val="00B5124B"/>
    <w:rsid w:val="00B512F2"/>
    <w:rsid w:val="00B51AFE"/>
    <w:rsid w:val="00B52172"/>
    <w:rsid w:val="00B52A70"/>
    <w:rsid w:val="00B5377B"/>
    <w:rsid w:val="00B54979"/>
    <w:rsid w:val="00B560F6"/>
    <w:rsid w:val="00B6012A"/>
    <w:rsid w:val="00B60592"/>
    <w:rsid w:val="00B608EB"/>
    <w:rsid w:val="00B637CE"/>
    <w:rsid w:val="00B6485E"/>
    <w:rsid w:val="00B64AC6"/>
    <w:rsid w:val="00B651F7"/>
    <w:rsid w:val="00B658EA"/>
    <w:rsid w:val="00B65C63"/>
    <w:rsid w:val="00B66664"/>
    <w:rsid w:val="00B66891"/>
    <w:rsid w:val="00B66A35"/>
    <w:rsid w:val="00B67665"/>
    <w:rsid w:val="00B67826"/>
    <w:rsid w:val="00B67D08"/>
    <w:rsid w:val="00B702EA"/>
    <w:rsid w:val="00B71347"/>
    <w:rsid w:val="00B72A7B"/>
    <w:rsid w:val="00B72DA2"/>
    <w:rsid w:val="00B73289"/>
    <w:rsid w:val="00B73713"/>
    <w:rsid w:val="00B73851"/>
    <w:rsid w:val="00B74311"/>
    <w:rsid w:val="00B74ECD"/>
    <w:rsid w:val="00B774AF"/>
    <w:rsid w:val="00B77674"/>
    <w:rsid w:val="00B8036D"/>
    <w:rsid w:val="00B807CD"/>
    <w:rsid w:val="00B80C96"/>
    <w:rsid w:val="00B8170B"/>
    <w:rsid w:val="00B82DA5"/>
    <w:rsid w:val="00B82FE3"/>
    <w:rsid w:val="00B84296"/>
    <w:rsid w:val="00B84FB0"/>
    <w:rsid w:val="00B858C0"/>
    <w:rsid w:val="00B860F2"/>
    <w:rsid w:val="00B87399"/>
    <w:rsid w:val="00B91A0A"/>
    <w:rsid w:val="00B9210A"/>
    <w:rsid w:val="00B924B3"/>
    <w:rsid w:val="00B931A0"/>
    <w:rsid w:val="00B93E3D"/>
    <w:rsid w:val="00B94A88"/>
    <w:rsid w:val="00B94C50"/>
    <w:rsid w:val="00B94ED9"/>
    <w:rsid w:val="00B977E1"/>
    <w:rsid w:val="00B97F6B"/>
    <w:rsid w:val="00BA4A08"/>
    <w:rsid w:val="00BA4C24"/>
    <w:rsid w:val="00BA4F11"/>
    <w:rsid w:val="00BA58D1"/>
    <w:rsid w:val="00BA5AB6"/>
    <w:rsid w:val="00BA6241"/>
    <w:rsid w:val="00BA6481"/>
    <w:rsid w:val="00BA6CC1"/>
    <w:rsid w:val="00BB0C57"/>
    <w:rsid w:val="00BB1337"/>
    <w:rsid w:val="00BB1380"/>
    <w:rsid w:val="00BB191D"/>
    <w:rsid w:val="00BB49E0"/>
    <w:rsid w:val="00BB4C35"/>
    <w:rsid w:val="00BB4E58"/>
    <w:rsid w:val="00BB5385"/>
    <w:rsid w:val="00BB61C6"/>
    <w:rsid w:val="00BB658D"/>
    <w:rsid w:val="00BC0032"/>
    <w:rsid w:val="00BC0718"/>
    <w:rsid w:val="00BC1AA7"/>
    <w:rsid w:val="00BC28E8"/>
    <w:rsid w:val="00BC2EA8"/>
    <w:rsid w:val="00BC34FA"/>
    <w:rsid w:val="00BC37E7"/>
    <w:rsid w:val="00BC4C8D"/>
    <w:rsid w:val="00BC625C"/>
    <w:rsid w:val="00BC66CB"/>
    <w:rsid w:val="00BD010B"/>
    <w:rsid w:val="00BD061B"/>
    <w:rsid w:val="00BD0B98"/>
    <w:rsid w:val="00BD145C"/>
    <w:rsid w:val="00BD146A"/>
    <w:rsid w:val="00BD2821"/>
    <w:rsid w:val="00BD4233"/>
    <w:rsid w:val="00BD4428"/>
    <w:rsid w:val="00BD4754"/>
    <w:rsid w:val="00BD4C81"/>
    <w:rsid w:val="00BD4D1B"/>
    <w:rsid w:val="00BD66A8"/>
    <w:rsid w:val="00BE012F"/>
    <w:rsid w:val="00BE02A2"/>
    <w:rsid w:val="00BE03DE"/>
    <w:rsid w:val="00BE16B8"/>
    <w:rsid w:val="00BE17A7"/>
    <w:rsid w:val="00BE2038"/>
    <w:rsid w:val="00BE326A"/>
    <w:rsid w:val="00BE4160"/>
    <w:rsid w:val="00BE515D"/>
    <w:rsid w:val="00BE5F90"/>
    <w:rsid w:val="00BE61C3"/>
    <w:rsid w:val="00BE6F64"/>
    <w:rsid w:val="00BF01C1"/>
    <w:rsid w:val="00BF09CC"/>
    <w:rsid w:val="00BF12A6"/>
    <w:rsid w:val="00BF22C7"/>
    <w:rsid w:val="00BF2743"/>
    <w:rsid w:val="00BF2CE3"/>
    <w:rsid w:val="00BF3CDC"/>
    <w:rsid w:val="00BF3D68"/>
    <w:rsid w:val="00BF4D2C"/>
    <w:rsid w:val="00BF50D0"/>
    <w:rsid w:val="00BF5DFD"/>
    <w:rsid w:val="00BF60F6"/>
    <w:rsid w:val="00BF6172"/>
    <w:rsid w:val="00BF65BC"/>
    <w:rsid w:val="00BF690A"/>
    <w:rsid w:val="00BF79F5"/>
    <w:rsid w:val="00C0010F"/>
    <w:rsid w:val="00C001BD"/>
    <w:rsid w:val="00C009DF"/>
    <w:rsid w:val="00C00C15"/>
    <w:rsid w:val="00C0105F"/>
    <w:rsid w:val="00C037F2"/>
    <w:rsid w:val="00C03A61"/>
    <w:rsid w:val="00C0535B"/>
    <w:rsid w:val="00C054F2"/>
    <w:rsid w:val="00C05CEC"/>
    <w:rsid w:val="00C05EAE"/>
    <w:rsid w:val="00C06BD0"/>
    <w:rsid w:val="00C079C3"/>
    <w:rsid w:val="00C10803"/>
    <w:rsid w:val="00C11666"/>
    <w:rsid w:val="00C12976"/>
    <w:rsid w:val="00C1357C"/>
    <w:rsid w:val="00C139E6"/>
    <w:rsid w:val="00C1660A"/>
    <w:rsid w:val="00C16808"/>
    <w:rsid w:val="00C17668"/>
    <w:rsid w:val="00C176C6"/>
    <w:rsid w:val="00C17DA2"/>
    <w:rsid w:val="00C20742"/>
    <w:rsid w:val="00C22D6B"/>
    <w:rsid w:val="00C23BD7"/>
    <w:rsid w:val="00C262E3"/>
    <w:rsid w:val="00C268C0"/>
    <w:rsid w:val="00C31E21"/>
    <w:rsid w:val="00C32149"/>
    <w:rsid w:val="00C32156"/>
    <w:rsid w:val="00C325BF"/>
    <w:rsid w:val="00C32748"/>
    <w:rsid w:val="00C3519F"/>
    <w:rsid w:val="00C351B1"/>
    <w:rsid w:val="00C357B7"/>
    <w:rsid w:val="00C358A0"/>
    <w:rsid w:val="00C36813"/>
    <w:rsid w:val="00C36D97"/>
    <w:rsid w:val="00C40A03"/>
    <w:rsid w:val="00C40BED"/>
    <w:rsid w:val="00C41C0C"/>
    <w:rsid w:val="00C42BBB"/>
    <w:rsid w:val="00C435BC"/>
    <w:rsid w:val="00C4430C"/>
    <w:rsid w:val="00C44A38"/>
    <w:rsid w:val="00C451A5"/>
    <w:rsid w:val="00C4666D"/>
    <w:rsid w:val="00C470D3"/>
    <w:rsid w:val="00C4736E"/>
    <w:rsid w:val="00C4786E"/>
    <w:rsid w:val="00C50265"/>
    <w:rsid w:val="00C50498"/>
    <w:rsid w:val="00C51595"/>
    <w:rsid w:val="00C52119"/>
    <w:rsid w:val="00C521A0"/>
    <w:rsid w:val="00C53AF2"/>
    <w:rsid w:val="00C54304"/>
    <w:rsid w:val="00C546C7"/>
    <w:rsid w:val="00C54980"/>
    <w:rsid w:val="00C54EE0"/>
    <w:rsid w:val="00C557E7"/>
    <w:rsid w:val="00C56672"/>
    <w:rsid w:val="00C607BB"/>
    <w:rsid w:val="00C60FD4"/>
    <w:rsid w:val="00C61409"/>
    <w:rsid w:val="00C6188D"/>
    <w:rsid w:val="00C624F5"/>
    <w:rsid w:val="00C626A6"/>
    <w:rsid w:val="00C63214"/>
    <w:rsid w:val="00C63E24"/>
    <w:rsid w:val="00C6543C"/>
    <w:rsid w:val="00C6612E"/>
    <w:rsid w:val="00C66616"/>
    <w:rsid w:val="00C66FD5"/>
    <w:rsid w:val="00C70C1D"/>
    <w:rsid w:val="00C71F43"/>
    <w:rsid w:val="00C72116"/>
    <w:rsid w:val="00C73D02"/>
    <w:rsid w:val="00C75D7A"/>
    <w:rsid w:val="00C76263"/>
    <w:rsid w:val="00C76A1E"/>
    <w:rsid w:val="00C77407"/>
    <w:rsid w:val="00C77EDB"/>
    <w:rsid w:val="00C821A2"/>
    <w:rsid w:val="00C82F02"/>
    <w:rsid w:val="00C83260"/>
    <w:rsid w:val="00C83666"/>
    <w:rsid w:val="00C8367B"/>
    <w:rsid w:val="00C844EA"/>
    <w:rsid w:val="00C853D1"/>
    <w:rsid w:val="00C854C5"/>
    <w:rsid w:val="00C86CEA"/>
    <w:rsid w:val="00C86D33"/>
    <w:rsid w:val="00C8706F"/>
    <w:rsid w:val="00C87969"/>
    <w:rsid w:val="00C87FC9"/>
    <w:rsid w:val="00C9015A"/>
    <w:rsid w:val="00C9140D"/>
    <w:rsid w:val="00C924C4"/>
    <w:rsid w:val="00C92F92"/>
    <w:rsid w:val="00C95739"/>
    <w:rsid w:val="00C9741B"/>
    <w:rsid w:val="00C97882"/>
    <w:rsid w:val="00CA10CB"/>
    <w:rsid w:val="00CA2B5F"/>
    <w:rsid w:val="00CA34C2"/>
    <w:rsid w:val="00CA4D1B"/>
    <w:rsid w:val="00CB05A8"/>
    <w:rsid w:val="00CB0F85"/>
    <w:rsid w:val="00CB1C97"/>
    <w:rsid w:val="00CB23C6"/>
    <w:rsid w:val="00CB32A7"/>
    <w:rsid w:val="00CB34DC"/>
    <w:rsid w:val="00CB416E"/>
    <w:rsid w:val="00CB4BFB"/>
    <w:rsid w:val="00CB5462"/>
    <w:rsid w:val="00CB613C"/>
    <w:rsid w:val="00CB6C91"/>
    <w:rsid w:val="00CB733A"/>
    <w:rsid w:val="00CC0056"/>
    <w:rsid w:val="00CC0AF7"/>
    <w:rsid w:val="00CC297B"/>
    <w:rsid w:val="00CC3106"/>
    <w:rsid w:val="00CC3933"/>
    <w:rsid w:val="00CC5683"/>
    <w:rsid w:val="00CC5864"/>
    <w:rsid w:val="00CC5D43"/>
    <w:rsid w:val="00CC5EA9"/>
    <w:rsid w:val="00CC62B4"/>
    <w:rsid w:val="00CC7D16"/>
    <w:rsid w:val="00CD0320"/>
    <w:rsid w:val="00CD067C"/>
    <w:rsid w:val="00CD226E"/>
    <w:rsid w:val="00CD2751"/>
    <w:rsid w:val="00CD4BBB"/>
    <w:rsid w:val="00CD59DC"/>
    <w:rsid w:val="00CD5A32"/>
    <w:rsid w:val="00CD5E6E"/>
    <w:rsid w:val="00CD6CC8"/>
    <w:rsid w:val="00CE1378"/>
    <w:rsid w:val="00CE5D75"/>
    <w:rsid w:val="00CE6B0E"/>
    <w:rsid w:val="00CE6C13"/>
    <w:rsid w:val="00CE7580"/>
    <w:rsid w:val="00CF0CB7"/>
    <w:rsid w:val="00CF11B1"/>
    <w:rsid w:val="00CF1CD7"/>
    <w:rsid w:val="00CF1F3C"/>
    <w:rsid w:val="00CF3022"/>
    <w:rsid w:val="00CF3A72"/>
    <w:rsid w:val="00CF3E06"/>
    <w:rsid w:val="00CF44BF"/>
    <w:rsid w:val="00CF4CCF"/>
    <w:rsid w:val="00CF54EA"/>
    <w:rsid w:val="00CF5729"/>
    <w:rsid w:val="00CF60CB"/>
    <w:rsid w:val="00CF6F87"/>
    <w:rsid w:val="00CF74A3"/>
    <w:rsid w:val="00CF77F4"/>
    <w:rsid w:val="00D004D7"/>
    <w:rsid w:val="00D01961"/>
    <w:rsid w:val="00D02A10"/>
    <w:rsid w:val="00D02CCB"/>
    <w:rsid w:val="00D02E1D"/>
    <w:rsid w:val="00D039DB"/>
    <w:rsid w:val="00D03B82"/>
    <w:rsid w:val="00D04130"/>
    <w:rsid w:val="00D04779"/>
    <w:rsid w:val="00D05E41"/>
    <w:rsid w:val="00D06240"/>
    <w:rsid w:val="00D063AD"/>
    <w:rsid w:val="00D076E0"/>
    <w:rsid w:val="00D104E5"/>
    <w:rsid w:val="00D10D8E"/>
    <w:rsid w:val="00D11345"/>
    <w:rsid w:val="00D12109"/>
    <w:rsid w:val="00D146F7"/>
    <w:rsid w:val="00D15503"/>
    <w:rsid w:val="00D200E2"/>
    <w:rsid w:val="00D2073E"/>
    <w:rsid w:val="00D20A41"/>
    <w:rsid w:val="00D213D2"/>
    <w:rsid w:val="00D2166A"/>
    <w:rsid w:val="00D22934"/>
    <w:rsid w:val="00D22CFE"/>
    <w:rsid w:val="00D24200"/>
    <w:rsid w:val="00D24588"/>
    <w:rsid w:val="00D252F3"/>
    <w:rsid w:val="00D25950"/>
    <w:rsid w:val="00D25F70"/>
    <w:rsid w:val="00D26155"/>
    <w:rsid w:val="00D262B5"/>
    <w:rsid w:val="00D27D54"/>
    <w:rsid w:val="00D31102"/>
    <w:rsid w:val="00D31697"/>
    <w:rsid w:val="00D31F21"/>
    <w:rsid w:val="00D3398F"/>
    <w:rsid w:val="00D33EEB"/>
    <w:rsid w:val="00D34331"/>
    <w:rsid w:val="00D34C7A"/>
    <w:rsid w:val="00D35CF5"/>
    <w:rsid w:val="00D36384"/>
    <w:rsid w:val="00D404A4"/>
    <w:rsid w:val="00D40FC9"/>
    <w:rsid w:val="00D41323"/>
    <w:rsid w:val="00D4199E"/>
    <w:rsid w:val="00D42C4A"/>
    <w:rsid w:val="00D43834"/>
    <w:rsid w:val="00D446C4"/>
    <w:rsid w:val="00D455B6"/>
    <w:rsid w:val="00D45681"/>
    <w:rsid w:val="00D5116F"/>
    <w:rsid w:val="00D51E86"/>
    <w:rsid w:val="00D525FB"/>
    <w:rsid w:val="00D52D47"/>
    <w:rsid w:val="00D53BA0"/>
    <w:rsid w:val="00D543B4"/>
    <w:rsid w:val="00D548E3"/>
    <w:rsid w:val="00D550A3"/>
    <w:rsid w:val="00D5669F"/>
    <w:rsid w:val="00D621C5"/>
    <w:rsid w:val="00D62DBA"/>
    <w:rsid w:val="00D634C7"/>
    <w:rsid w:val="00D6369D"/>
    <w:rsid w:val="00D63962"/>
    <w:rsid w:val="00D67578"/>
    <w:rsid w:val="00D72278"/>
    <w:rsid w:val="00D72534"/>
    <w:rsid w:val="00D73035"/>
    <w:rsid w:val="00D80600"/>
    <w:rsid w:val="00D819B4"/>
    <w:rsid w:val="00D827CE"/>
    <w:rsid w:val="00D8323A"/>
    <w:rsid w:val="00D838D5"/>
    <w:rsid w:val="00D8598C"/>
    <w:rsid w:val="00D9008B"/>
    <w:rsid w:val="00D90DD8"/>
    <w:rsid w:val="00D923BC"/>
    <w:rsid w:val="00D93028"/>
    <w:rsid w:val="00D939B9"/>
    <w:rsid w:val="00D95743"/>
    <w:rsid w:val="00D95EB3"/>
    <w:rsid w:val="00D97BF2"/>
    <w:rsid w:val="00D97DC0"/>
    <w:rsid w:val="00DA0E9B"/>
    <w:rsid w:val="00DA13B0"/>
    <w:rsid w:val="00DA2543"/>
    <w:rsid w:val="00DA274C"/>
    <w:rsid w:val="00DA2931"/>
    <w:rsid w:val="00DA30C4"/>
    <w:rsid w:val="00DA404E"/>
    <w:rsid w:val="00DA6071"/>
    <w:rsid w:val="00DA7578"/>
    <w:rsid w:val="00DA785F"/>
    <w:rsid w:val="00DB1E3A"/>
    <w:rsid w:val="00DB1F44"/>
    <w:rsid w:val="00DB22CC"/>
    <w:rsid w:val="00DB25FE"/>
    <w:rsid w:val="00DB294C"/>
    <w:rsid w:val="00DB3E26"/>
    <w:rsid w:val="00DB4010"/>
    <w:rsid w:val="00DB4721"/>
    <w:rsid w:val="00DB4DA3"/>
    <w:rsid w:val="00DB5BF0"/>
    <w:rsid w:val="00DB66BA"/>
    <w:rsid w:val="00DC0911"/>
    <w:rsid w:val="00DC1DE0"/>
    <w:rsid w:val="00DC2E30"/>
    <w:rsid w:val="00DC3361"/>
    <w:rsid w:val="00DC4E8A"/>
    <w:rsid w:val="00DC514E"/>
    <w:rsid w:val="00DC6022"/>
    <w:rsid w:val="00DC7617"/>
    <w:rsid w:val="00DD0A40"/>
    <w:rsid w:val="00DD0C9A"/>
    <w:rsid w:val="00DD1F95"/>
    <w:rsid w:val="00DD22AC"/>
    <w:rsid w:val="00DD32D1"/>
    <w:rsid w:val="00DD43E7"/>
    <w:rsid w:val="00DD4F4D"/>
    <w:rsid w:val="00DD5784"/>
    <w:rsid w:val="00DD6FFC"/>
    <w:rsid w:val="00DD73D4"/>
    <w:rsid w:val="00DE02A1"/>
    <w:rsid w:val="00DE1219"/>
    <w:rsid w:val="00DE137B"/>
    <w:rsid w:val="00DE1529"/>
    <w:rsid w:val="00DE15AB"/>
    <w:rsid w:val="00DE189A"/>
    <w:rsid w:val="00DE2A53"/>
    <w:rsid w:val="00DE35DD"/>
    <w:rsid w:val="00DE3AD0"/>
    <w:rsid w:val="00DE3AE9"/>
    <w:rsid w:val="00DE471A"/>
    <w:rsid w:val="00DE4EC0"/>
    <w:rsid w:val="00DE618D"/>
    <w:rsid w:val="00DE7230"/>
    <w:rsid w:val="00DF1AD4"/>
    <w:rsid w:val="00DF255E"/>
    <w:rsid w:val="00DF2C14"/>
    <w:rsid w:val="00DF3954"/>
    <w:rsid w:val="00DF3D39"/>
    <w:rsid w:val="00DF3EAC"/>
    <w:rsid w:val="00DF4B0B"/>
    <w:rsid w:val="00DF4CBD"/>
    <w:rsid w:val="00DF64C2"/>
    <w:rsid w:val="00DF6522"/>
    <w:rsid w:val="00DF6733"/>
    <w:rsid w:val="00DF68F4"/>
    <w:rsid w:val="00DF757E"/>
    <w:rsid w:val="00E0013A"/>
    <w:rsid w:val="00E00A05"/>
    <w:rsid w:val="00E01E94"/>
    <w:rsid w:val="00E024DC"/>
    <w:rsid w:val="00E026D8"/>
    <w:rsid w:val="00E02B1A"/>
    <w:rsid w:val="00E03596"/>
    <w:rsid w:val="00E037F2"/>
    <w:rsid w:val="00E041D2"/>
    <w:rsid w:val="00E0579A"/>
    <w:rsid w:val="00E0681C"/>
    <w:rsid w:val="00E0690A"/>
    <w:rsid w:val="00E10E38"/>
    <w:rsid w:val="00E11029"/>
    <w:rsid w:val="00E1137C"/>
    <w:rsid w:val="00E12079"/>
    <w:rsid w:val="00E1356F"/>
    <w:rsid w:val="00E141BA"/>
    <w:rsid w:val="00E15AB6"/>
    <w:rsid w:val="00E17817"/>
    <w:rsid w:val="00E20C1E"/>
    <w:rsid w:val="00E20E95"/>
    <w:rsid w:val="00E21F1F"/>
    <w:rsid w:val="00E22E8B"/>
    <w:rsid w:val="00E22F4D"/>
    <w:rsid w:val="00E2553C"/>
    <w:rsid w:val="00E258DF"/>
    <w:rsid w:val="00E25BEA"/>
    <w:rsid w:val="00E26982"/>
    <w:rsid w:val="00E3039E"/>
    <w:rsid w:val="00E3096D"/>
    <w:rsid w:val="00E30E49"/>
    <w:rsid w:val="00E33061"/>
    <w:rsid w:val="00E34400"/>
    <w:rsid w:val="00E3496A"/>
    <w:rsid w:val="00E34985"/>
    <w:rsid w:val="00E34D2E"/>
    <w:rsid w:val="00E357F1"/>
    <w:rsid w:val="00E3624D"/>
    <w:rsid w:val="00E3682D"/>
    <w:rsid w:val="00E40083"/>
    <w:rsid w:val="00E41A6D"/>
    <w:rsid w:val="00E420A8"/>
    <w:rsid w:val="00E42641"/>
    <w:rsid w:val="00E44066"/>
    <w:rsid w:val="00E44F49"/>
    <w:rsid w:val="00E45A70"/>
    <w:rsid w:val="00E46DD2"/>
    <w:rsid w:val="00E52A27"/>
    <w:rsid w:val="00E5308C"/>
    <w:rsid w:val="00E537CF"/>
    <w:rsid w:val="00E544A7"/>
    <w:rsid w:val="00E54972"/>
    <w:rsid w:val="00E552F8"/>
    <w:rsid w:val="00E55BF4"/>
    <w:rsid w:val="00E56313"/>
    <w:rsid w:val="00E575E3"/>
    <w:rsid w:val="00E57717"/>
    <w:rsid w:val="00E606EB"/>
    <w:rsid w:val="00E62F2A"/>
    <w:rsid w:val="00E64459"/>
    <w:rsid w:val="00E656A1"/>
    <w:rsid w:val="00E65C70"/>
    <w:rsid w:val="00E665FA"/>
    <w:rsid w:val="00E66635"/>
    <w:rsid w:val="00E66DAD"/>
    <w:rsid w:val="00E675CA"/>
    <w:rsid w:val="00E70A2D"/>
    <w:rsid w:val="00E7166A"/>
    <w:rsid w:val="00E72AAB"/>
    <w:rsid w:val="00E72B27"/>
    <w:rsid w:val="00E72F4C"/>
    <w:rsid w:val="00E7302E"/>
    <w:rsid w:val="00E75051"/>
    <w:rsid w:val="00E75289"/>
    <w:rsid w:val="00E75601"/>
    <w:rsid w:val="00E76D16"/>
    <w:rsid w:val="00E77732"/>
    <w:rsid w:val="00E80D53"/>
    <w:rsid w:val="00E823D8"/>
    <w:rsid w:val="00E82D15"/>
    <w:rsid w:val="00E83E52"/>
    <w:rsid w:val="00E8403B"/>
    <w:rsid w:val="00E84A92"/>
    <w:rsid w:val="00E8712B"/>
    <w:rsid w:val="00E87B2F"/>
    <w:rsid w:val="00E9122D"/>
    <w:rsid w:val="00E94425"/>
    <w:rsid w:val="00EA2421"/>
    <w:rsid w:val="00EA2944"/>
    <w:rsid w:val="00EA295B"/>
    <w:rsid w:val="00EA2AEF"/>
    <w:rsid w:val="00EA32E5"/>
    <w:rsid w:val="00EA3486"/>
    <w:rsid w:val="00EA3E08"/>
    <w:rsid w:val="00EA48B8"/>
    <w:rsid w:val="00EA58D5"/>
    <w:rsid w:val="00EA5F24"/>
    <w:rsid w:val="00EA5FFF"/>
    <w:rsid w:val="00EA6E3C"/>
    <w:rsid w:val="00EA7239"/>
    <w:rsid w:val="00EA752A"/>
    <w:rsid w:val="00EB05BF"/>
    <w:rsid w:val="00EB2B8E"/>
    <w:rsid w:val="00EB3211"/>
    <w:rsid w:val="00EB4454"/>
    <w:rsid w:val="00EB4FFD"/>
    <w:rsid w:val="00EB56DA"/>
    <w:rsid w:val="00EB57C3"/>
    <w:rsid w:val="00EB62E7"/>
    <w:rsid w:val="00EB66E2"/>
    <w:rsid w:val="00EB712E"/>
    <w:rsid w:val="00EC0278"/>
    <w:rsid w:val="00EC0ED6"/>
    <w:rsid w:val="00EC1327"/>
    <w:rsid w:val="00EC1556"/>
    <w:rsid w:val="00EC194A"/>
    <w:rsid w:val="00EC1D50"/>
    <w:rsid w:val="00EC3B3F"/>
    <w:rsid w:val="00EC3EB1"/>
    <w:rsid w:val="00EC49B8"/>
    <w:rsid w:val="00EC4A91"/>
    <w:rsid w:val="00EC5DB0"/>
    <w:rsid w:val="00EC6DF9"/>
    <w:rsid w:val="00ED0012"/>
    <w:rsid w:val="00ED13EA"/>
    <w:rsid w:val="00ED1A6F"/>
    <w:rsid w:val="00ED2359"/>
    <w:rsid w:val="00ED4545"/>
    <w:rsid w:val="00ED48DC"/>
    <w:rsid w:val="00ED5B88"/>
    <w:rsid w:val="00ED7563"/>
    <w:rsid w:val="00EE1121"/>
    <w:rsid w:val="00EE1E9A"/>
    <w:rsid w:val="00EE3FB8"/>
    <w:rsid w:val="00EE4C39"/>
    <w:rsid w:val="00EE51DD"/>
    <w:rsid w:val="00EE5B4A"/>
    <w:rsid w:val="00EE5E77"/>
    <w:rsid w:val="00EE6181"/>
    <w:rsid w:val="00EE628A"/>
    <w:rsid w:val="00EE773F"/>
    <w:rsid w:val="00EF02FC"/>
    <w:rsid w:val="00EF0F2B"/>
    <w:rsid w:val="00EF0FEF"/>
    <w:rsid w:val="00EF15CA"/>
    <w:rsid w:val="00EF1927"/>
    <w:rsid w:val="00EF2106"/>
    <w:rsid w:val="00EF2D53"/>
    <w:rsid w:val="00EF3423"/>
    <w:rsid w:val="00EF47B8"/>
    <w:rsid w:val="00EF505D"/>
    <w:rsid w:val="00EF659D"/>
    <w:rsid w:val="00EF7305"/>
    <w:rsid w:val="00F00A34"/>
    <w:rsid w:val="00F00CAA"/>
    <w:rsid w:val="00F01B30"/>
    <w:rsid w:val="00F02684"/>
    <w:rsid w:val="00F03C74"/>
    <w:rsid w:val="00F04D02"/>
    <w:rsid w:val="00F077C1"/>
    <w:rsid w:val="00F07920"/>
    <w:rsid w:val="00F07B4A"/>
    <w:rsid w:val="00F11DB3"/>
    <w:rsid w:val="00F122AB"/>
    <w:rsid w:val="00F1316A"/>
    <w:rsid w:val="00F1320E"/>
    <w:rsid w:val="00F136F3"/>
    <w:rsid w:val="00F14344"/>
    <w:rsid w:val="00F1437B"/>
    <w:rsid w:val="00F14933"/>
    <w:rsid w:val="00F14B7C"/>
    <w:rsid w:val="00F150CC"/>
    <w:rsid w:val="00F1587A"/>
    <w:rsid w:val="00F17269"/>
    <w:rsid w:val="00F17AF4"/>
    <w:rsid w:val="00F21071"/>
    <w:rsid w:val="00F21594"/>
    <w:rsid w:val="00F21C9F"/>
    <w:rsid w:val="00F22628"/>
    <w:rsid w:val="00F2374E"/>
    <w:rsid w:val="00F23C7D"/>
    <w:rsid w:val="00F243BA"/>
    <w:rsid w:val="00F245E8"/>
    <w:rsid w:val="00F26B90"/>
    <w:rsid w:val="00F27C0F"/>
    <w:rsid w:val="00F3039D"/>
    <w:rsid w:val="00F30417"/>
    <w:rsid w:val="00F30746"/>
    <w:rsid w:val="00F3217D"/>
    <w:rsid w:val="00F32634"/>
    <w:rsid w:val="00F32D35"/>
    <w:rsid w:val="00F33650"/>
    <w:rsid w:val="00F34921"/>
    <w:rsid w:val="00F34A88"/>
    <w:rsid w:val="00F3577B"/>
    <w:rsid w:val="00F35DE0"/>
    <w:rsid w:val="00F364E3"/>
    <w:rsid w:val="00F366D2"/>
    <w:rsid w:val="00F37AF3"/>
    <w:rsid w:val="00F408F3"/>
    <w:rsid w:val="00F42FC6"/>
    <w:rsid w:val="00F44474"/>
    <w:rsid w:val="00F4472E"/>
    <w:rsid w:val="00F44A12"/>
    <w:rsid w:val="00F44B05"/>
    <w:rsid w:val="00F458DD"/>
    <w:rsid w:val="00F4724F"/>
    <w:rsid w:val="00F472E7"/>
    <w:rsid w:val="00F47913"/>
    <w:rsid w:val="00F47AAF"/>
    <w:rsid w:val="00F502F5"/>
    <w:rsid w:val="00F50A8E"/>
    <w:rsid w:val="00F50B4D"/>
    <w:rsid w:val="00F5223B"/>
    <w:rsid w:val="00F56155"/>
    <w:rsid w:val="00F57029"/>
    <w:rsid w:val="00F575C3"/>
    <w:rsid w:val="00F5792B"/>
    <w:rsid w:val="00F60DDF"/>
    <w:rsid w:val="00F6209B"/>
    <w:rsid w:val="00F629B9"/>
    <w:rsid w:val="00F635E4"/>
    <w:rsid w:val="00F653C1"/>
    <w:rsid w:val="00F70364"/>
    <w:rsid w:val="00F70E20"/>
    <w:rsid w:val="00F71419"/>
    <w:rsid w:val="00F71997"/>
    <w:rsid w:val="00F719F3"/>
    <w:rsid w:val="00F71AD8"/>
    <w:rsid w:val="00F72107"/>
    <w:rsid w:val="00F72153"/>
    <w:rsid w:val="00F7282C"/>
    <w:rsid w:val="00F72CC8"/>
    <w:rsid w:val="00F731A0"/>
    <w:rsid w:val="00F73771"/>
    <w:rsid w:val="00F74DCC"/>
    <w:rsid w:val="00F7623C"/>
    <w:rsid w:val="00F77583"/>
    <w:rsid w:val="00F77FB1"/>
    <w:rsid w:val="00F82109"/>
    <w:rsid w:val="00F82375"/>
    <w:rsid w:val="00F823A1"/>
    <w:rsid w:val="00F835BC"/>
    <w:rsid w:val="00F840EF"/>
    <w:rsid w:val="00F84B6A"/>
    <w:rsid w:val="00F85D0E"/>
    <w:rsid w:val="00F87A23"/>
    <w:rsid w:val="00F92482"/>
    <w:rsid w:val="00F9264D"/>
    <w:rsid w:val="00F92A74"/>
    <w:rsid w:val="00F93404"/>
    <w:rsid w:val="00F9424A"/>
    <w:rsid w:val="00F9641A"/>
    <w:rsid w:val="00FA05B3"/>
    <w:rsid w:val="00FA11F8"/>
    <w:rsid w:val="00FA12F7"/>
    <w:rsid w:val="00FA1EE7"/>
    <w:rsid w:val="00FA24D0"/>
    <w:rsid w:val="00FA2F11"/>
    <w:rsid w:val="00FA336A"/>
    <w:rsid w:val="00FA43A5"/>
    <w:rsid w:val="00FA4747"/>
    <w:rsid w:val="00FA79D8"/>
    <w:rsid w:val="00FB0460"/>
    <w:rsid w:val="00FB2754"/>
    <w:rsid w:val="00FB3491"/>
    <w:rsid w:val="00FB3F93"/>
    <w:rsid w:val="00FB4CED"/>
    <w:rsid w:val="00FB59E9"/>
    <w:rsid w:val="00FB7AC3"/>
    <w:rsid w:val="00FC05ED"/>
    <w:rsid w:val="00FC0C19"/>
    <w:rsid w:val="00FC252D"/>
    <w:rsid w:val="00FC272B"/>
    <w:rsid w:val="00FC4ADE"/>
    <w:rsid w:val="00FC6040"/>
    <w:rsid w:val="00FC6392"/>
    <w:rsid w:val="00FC721A"/>
    <w:rsid w:val="00FC776D"/>
    <w:rsid w:val="00FC7C76"/>
    <w:rsid w:val="00FD1717"/>
    <w:rsid w:val="00FD3C06"/>
    <w:rsid w:val="00FD3F80"/>
    <w:rsid w:val="00FD4B4B"/>
    <w:rsid w:val="00FD5C7B"/>
    <w:rsid w:val="00FD5FD3"/>
    <w:rsid w:val="00FD6783"/>
    <w:rsid w:val="00FD701D"/>
    <w:rsid w:val="00FD70F7"/>
    <w:rsid w:val="00FD7492"/>
    <w:rsid w:val="00FD78F4"/>
    <w:rsid w:val="00FE09B9"/>
    <w:rsid w:val="00FE14C7"/>
    <w:rsid w:val="00FE1EE5"/>
    <w:rsid w:val="00FE2858"/>
    <w:rsid w:val="00FE28D0"/>
    <w:rsid w:val="00FE4519"/>
    <w:rsid w:val="00FE6735"/>
    <w:rsid w:val="00FE6B34"/>
    <w:rsid w:val="00FE7516"/>
    <w:rsid w:val="00FE77EF"/>
    <w:rsid w:val="00FF34D8"/>
    <w:rsid w:val="00FF3E07"/>
    <w:rsid w:val="00FF4A77"/>
    <w:rsid w:val="00FF4F55"/>
    <w:rsid w:val="00FF6027"/>
    <w:rsid w:val="00FF6987"/>
    <w:rsid w:val="00FF75C6"/>
    <w:rsid w:val="23DD047A"/>
    <w:rsid w:val="74DF18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57CB4A"/>
  <w15:docId w15:val="{9F1D1C30-9E7A-4AC2-941A-0FFE25DBF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062B"/>
    <w:pPr>
      <w:widowControl w:val="0"/>
      <w:spacing w:afterLines="50" w:after="50" w:line="300" w:lineRule="auto"/>
      <w:ind w:firstLineChars="200" w:firstLine="200"/>
      <w:jc w:val="both"/>
    </w:pPr>
    <w:rPr>
      <w:rFonts w:ascii="Times New Roman" w:hAnsi="Times New Roman"/>
      <w:kern w:val="2"/>
      <w:sz w:val="21"/>
      <w:szCs w:val="22"/>
    </w:rPr>
  </w:style>
  <w:style w:type="paragraph" w:styleId="Heading1">
    <w:name w:val="heading 1"/>
    <w:basedOn w:val="Normal"/>
    <w:next w:val="Normal"/>
    <w:link w:val="Heading1Char"/>
    <w:uiPriority w:val="9"/>
    <w:qFormat/>
    <w:rsid w:val="008768D6"/>
    <w:pPr>
      <w:keepNext/>
      <w:keepLines/>
      <w:numPr>
        <w:numId w:val="1"/>
      </w:numPr>
      <w:spacing w:afterLines="20" w:after="20" w:line="360" w:lineRule="auto"/>
      <w:ind w:firstLineChars="0"/>
      <w:outlineLvl w:val="0"/>
    </w:pPr>
    <w:rPr>
      <w:b/>
      <w:bCs/>
      <w:kern w:val="44"/>
      <w:szCs w:val="44"/>
    </w:rPr>
  </w:style>
  <w:style w:type="paragraph" w:styleId="Heading2">
    <w:name w:val="heading 2"/>
    <w:basedOn w:val="Normal"/>
    <w:next w:val="Normal"/>
    <w:link w:val="Heading2Char"/>
    <w:uiPriority w:val="9"/>
    <w:unhideWhenUsed/>
    <w:qFormat/>
    <w:rsid w:val="008768D6"/>
    <w:pPr>
      <w:keepNext/>
      <w:keepLines/>
      <w:numPr>
        <w:ilvl w:val="1"/>
        <w:numId w:val="1"/>
      </w:numPr>
      <w:spacing w:afterLines="20" w:after="20" w:line="360" w:lineRule="auto"/>
      <w:ind w:firstLineChars="0"/>
      <w:outlineLvl w:val="1"/>
    </w:pPr>
    <w:rPr>
      <w:rFonts w:eastAsiaTheme="majorEastAsia" w:cstheme="majorBidi"/>
      <w:b/>
      <w:bCs/>
      <w:szCs w:val="32"/>
    </w:rPr>
  </w:style>
  <w:style w:type="paragraph" w:styleId="Heading3">
    <w:name w:val="heading 3"/>
    <w:basedOn w:val="Normal"/>
    <w:next w:val="Normal"/>
    <w:link w:val="Heading3Char"/>
    <w:uiPriority w:val="9"/>
    <w:unhideWhenUsed/>
    <w:qFormat/>
    <w:rsid w:val="00B31991"/>
    <w:pPr>
      <w:keepNext/>
      <w:keepLines/>
      <w:numPr>
        <w:ilvl w:val="2"/>
        <w:numId w:val="1"/>
      </w:numPr>
      <w:spacing w:line="360" w:lineRule="auto"/>
      <w:ind w:firstLineChars="0"/>
      <w:outlineLvl w:val="2"/>
    </w:pPr>
    <w:rPr>
      <w:b/>
      <w:bCs/>
      <w:szCs w:val="32"/>
    </w:rPr>
  </w:style>
  <w:style w:type="paragraph" w:styleId="Heading4">
    <w:name w:val="heading 4"/>
    <w:basedOn w:val="Normal"/>
    <w:next w:val="Normal"/>
    <w:link w:val="Heading4Char"/>
    <w:uiPriority w:val="9"/>
    <w:semiHidden/>
    <w:unhideWhenUsed/>
    <w:qFormat/>
    <w:rsid w:val="0040275E"/>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unhideWhenUsed/>
    <w:rsid w:val="00EC1327"/>
    <w:pPr>
      <w:tabs>
        <w:tab w:val="left" w:pos="504"/>
      </w:tabs>
      <w:spacing w:after="240" w:line="240" w:lineRule="auto"/>
      <w:ind w:firstLine="0"/>
    </w:pPr>
  </w:style>
  <w:style w:type="character" w:styleId="FootnoteReference">
    <w:name w:val="footnote reference"/>
    <w:basedOn w:val="DefaultParagraphFont"/>
    <w:uiPriority w:val="99"/>
    <w:semiHidden/>
    <w:unhideWhenUsed/>
    <w:rPr>
      <w:vertAlign w:val="superscript"/>
    </w:rPr>
  </w:style>
  <w:style w:type="character" w:customStyle="1" w:styleId="FooterChar">
    <w:name w:val="Footer Char"/>
    <w:basedOn w:val="DefaultParagraphFont"/>
    <w:link w:val="Footer"/>
    <w:uiPriority w:val="99"/>
    <w:rPr>
      <w:rFonts w:ascii="Times New Roman" w:hAnsi="Times New Roman"/>
      <w:kern w:val="2"/>
      <w:sz w:val="18"/>
      <w:szCs w:val="18"/>
    </w:rPr>
  </w:style>
  <w:style w:type="character" w:customStyle="1" w:styleId="Heading2Char">
    <w:name w:val="Heading 2 Char"/>
    <w:basedOn w:val="DefaultParagraphFont"/>
    <w:link w:val="Heading2"/>
    <w:uiPriority w:val="9"/>
    <w:rsid w:val="008768D6"/>
    <w:rPr>
      <w:rFonts w:ascii="Times New Roman" w:eastAsiaTheme="majorEastAsia" w:hAnsi="Times New Roman" w:cstheme="majorBidi"/>
      <w:b/>
      <w:bCs/>
      <w:kern w:val="2"/>
      <w:sz w:val="21"/>
      <w:szCs w:val="32"/>
    </w:rPr>
  </w:style>
  <w:style w:type="paragraph" w:styleId="BalloonText">
    <w:name w:val="Balloon Text"/>
    <w:basedOn w:val="Normal"/>
    <w:link w:val="BalloonTextChar"/>
    <w:uiPriority w:val="99"/>
    <w:semiHidden/>
    <w:unhideWhenUsed/>
    <w:pPr>
      <w:spacing w:after="0" w:line="240" w:lineRule="auto"/>
    </w:pPr>
    <w:rPr>
      <w:sz w:val="18"/>
      <w:szCs w:val="18"/>
    </w:rPr>
  </w:style>
  <w:style w:type="character" w:customStyle="1" w:styleId="BalloonTextChar">
    <w:name w:val="Balloon Text Char"/>
    <w:basedOn w:val="DefaultParagraphFont"/>
    <w:link w:val="BalloonText"/>
    <w:uiPriority w:val="99"/>
    <w:semiHidden/>
    <w:rPr>
      <w:rFonts w:ascii="Times New Roman" w:hAnsi="Times New Roman"/>
      <w:sz w:val="18"/>
      <w:szCs w:val="1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pPr>
      <w:snapToGrid w:val="0"/>
      <w:jc w:val="left"/>
    </w:pPr>
    <w:rPr>
      <w:sz w:val="18"/>
      <w:szCs w:val="18"/>
    </w:rPr>
  </w:style>
  <w:style w:type="paragraph" w:customStyle="1" w:styleId="a">
    <w:name w:val="文章标题"/>
    <w:basedOn w:val="Normal"/>
    <w:next w:val="Normal"/>
    <w:qFormat/>
    <w:rsid w:val="00201886"/>
    <w:pPr>
      <w:spacing w:afterLines="0" w:after="0" w:line="360" w:lineRule="auto"/>
      <w:ind w:firstLineChars="0" w:firstLine="0"/>
      <w:jc w:val="center"/>
    </w:pPr>
    <w:rPr>
      <w:b/>
      <w:sz w:val="30"/>
    </w:rPr>
  </w:style>
  <w:style w:type="character" w:customStyle="1" w:styleId="CommentSubjectChar">
    <w:name w:val="Comment Subject Char"/>
    <w:basedOn w:val="CommentTextChar"/>
    <w:link w:val="CommentSubject"/>
    <w:uiPriority w:val="99"/>
    <w:semiHidden/>
    <w:rPr>
      <w:rFonts w:ascii="Times New Roman" w:hAnsi="Times New Roman"/>
      <w:b/>
      <w:bCs/>
      <w:sz w:val="24"/>
    </w:rPr>
  </w:style>
  <w:style w:type="paragraph" w:customStyle="1" w:styleId="a0">
    <w:name w:val="表格"/>
    <w:basedOn w:val="Normal"/>
    <w:qFormat/>
    <w:rsid w:val="0077730B"/>
    <w:pPr>
      <w:spacing w:afterLines="0" w:after="0" w:line="240" w:lineRule="auto"/>
      <w:ind w:firstLineChars="0" w:firstLine="0"/>
      <w:jc w:val="center"/>
    </w:pPr>
    <w:rPr>
      <w:rFonts w:ascii="Arial" w:eastAsia="SimSun" w:hAnsi="Arial"/>
    </w:rPr>
  </w:style>
  <w:style w:type="paragraph" w:styleId="ListParagraph">
    <w:name w:val="List Paragraph"/>
    <w:basedOn w:val="Normal"/>
    <w:uiPriority w:val="99"/>
    <w:unhideWhenUsed/>
    <w:rsid w:val="00D34C7A"/>
    <w:pPr>
      <w:ind w:firstLine="420"/>
    </w:pPr>
  </w:style>
  <w:style w:type="paragraph" w:customStyle="1" w:styleId="a1">
    <w:name w:val="原文引用"/>
    <w:basedOn w:val="Normal"/>
    <w:qFormat/>
    <w:rsid w:val="00A77A67"/>
    <w:pPr>
      <w:spacing w:afterLines="0" w:after="0"/>
      <w:ind w:leftChars="100" w:left="100" w:rightChars="100" w:right="100"/>
    </w:pPr>
    <w:rPr>
      <w:rFonts w:eastAsia="KaiTi"/>
    </w:rPr>
  </w:style>
  <w:style w:type="character" w:customStyle="1" w:styleId="FootnoteTextChar">
    <w:name w:val="Footnote Text Char"/>
    <w:basedOn w:val="DefaultParagraphFont"/>
    <w:link w:val="FootnoteText"/>
    <w:uiPriority w:val="99"/>
    <w:semiHidden/>
    <w:rPr>
      <w:rFonts w:ascii="Times New Roman" w:hAnsi="Times New Roman"/>
      <w:sz w:val="18"/>
      <w:szCs w:val="18"/>
    </w:rPr>
  </w:style>
  <w:style w:type="character" w:styleId="Hyperlink">
    <w:name w:val="Hyperlink"/>
    <w:basedOn w:val="DefaultParagraphFont"/>
    <w:uiPriority w:val="99"/>
    <w:unhideWhenUsed/>
    <w:rPr>
      <w:color w:val="0000FF" w:themeColor="hyperlink"/>
      <w:u w:val="single"/>
    </w:rPr>
  </w:style>
  <w:style w:type="character" w:styleId="LineNumber">
    <w:name w:val="line number"/>
    <w:basedOn w:val="DefaultParagraphFont"/>
    <w:uiPriority w:val="99"/>
    <w:semiHidden/>
    <w:unhideWhenUsed/>
    <w:rsid w:val="00853130"/>
  </w:style>
  <w:style w:type="paragraph" w:customStyle="1" w:styleId="a2">
    <w:name w:val="图表名称"/>
    <w:basedOn w:val="Normal"/>
    <w:next w:val="Normal"/>
    <w:qFormat/>
    <w:rsid w:val="00C76263"/>
    <w:pPr>
      <w:spacing w:line="240" w:lineRule="auto"/>
      <w:ind w:firstLineChars="0" w:firstLine="0"/>
      <w:jc w:val="center"/>
    </w:pPr>
    <w:rPr>
      <w:rFonts w:eastAsia="SimSun"/>
    </w:rPr>
  </w:style>
  <w:style w:type="character" w:customStyle="1" w:styleId="2">
    <w:name w:val="未处理的提及2"/>
    <w:basedOn w:val="DefaultParagraphFont"/>
    <w:uiPriority w:val="99"/>
    <w:semiHidden/>
    <w:unhideWhenUsed/>
    <w:rsid w:val="00FB59E9"/>
    <w:rPr>
      <w:color w:val="605E5C"/>
      <w:shd w:val="clear" w:color="auto" w:fill="E1DFDD"/>
    </w:rPr>
  </w:style>
  <w:style w:type="paragraph" w:customStyle="1" w:styleId="a3">
    <w:name w:val="参考文献"/>
    <w:basedOn w:val="Normal"/>
    <w:qFormat/>
    <w:rsid w:val="00C92F92"/>
    <w:pPr>
      <w:spacing w:afterLines="30" w:after="30" w:line="240" w:lineRule="auto"/>
    </w:pPr>
  </w:style>
  <w:style w:type="character" w:customStyle="1" w:styleId="a4">
    <w:name w:val="回复信正文 字符"/>
    <w:link w:val="a5"/>
    <w:rsid w:val="00D25950"/>
    <w:rPr>
      <w:rFonts w:ascii="Times New Roman" w:eastAsia="SimSun" w:hAnsi="Times New Roman" w:cs="Times New Roman"/>
      <w:kern w:val="2"/>
      <w:sz w:val="22"/>
      <w:szCs w:val="32"/>
    </w:rPr>
  </w:style>
  <w:style w:type="paragraph" w:styleId="CommentSubject">
    <w:name w:val="annotation subject"/>
    <w:basedOn w:val="CommentText"/>
    <w:next w:val="CommentText"/>
    <w:link w:val="CommentSubjectChar"/>
    <w:uiPriority w:val="99"/>
    <w:semiHidden/>
    <w:unhideWhenUsed/>
    <w:rPr>
      <w:b/>
      <w:bCs/>
    </w:rPr>
  </w:style>
  <w:style w:type="character" w:styleId="UnresolvedMention">
    <w:name w:val="Unresolved Mention"/>
    <w:basedOn w:val="DefaultParagraphFont"/>
    <w:uiPriority w:val="99"/>
    <w:semiHidden/>
    <w:unhideWhenUsed/>
    <w:rsid w:val="00D41323"/>
    <w:rPr>
      <w:color w:val="605E5C"/>
      <w:shd w:val="clear" w:color="auto" w:fill="E1DFDD"/>
    </w:rPr>
  </w:style>
  <w:style w:type="character" w:customStyle="1" w:styleId="1">
    <w:name w:val="未处理的提及1"/>
    <w:basedOn w:val="DefaultParagraphFont"/>
    <w:uiPriority w:val="99"/>
    <w:semiHidden/>
    <w:unhideWhenUsed/>
    <w:qFormat/>
    <w:rPr>
      <w:color w:val="605E5C"/>
      <w:shd w:val="clear" w:color="auto" w:fill="E1DFDD"/>
    </w:rPr>
  </w:style>
  <w:style w:type="character" w:customStyle="1" w:styleId="Heading1Char">
    <w:name w:val="Heading 1 Char"/>
    <w:basedOn w:val="DefaultParagraphFont"/>
    <w:link w:val="Heading1"/>
    <w:uiPriority w:val="9"/>
    <w:rsid w:val="008768D6"/>
    <w:rPr>
      <w:rFonts w:ascii="Times New Roman" w:hAnsi="Times New Roman"/>
      <w:b/>
      <w:bCs/>
      <w:kern w:val="44"/>
      <w:sz w:val="21"/>
      <w:szCs w:val="44"/>
    </w:rPr>
  </w:style>
  <w:style w:type="character" w:styleId="CommentReference">
    <w:name w:val="annotation reference"/>
    <w:basedOn w:val="DefaultParagraphFont"/>
    <w:uiPriority w:val="99"/>
    <w:semiHidden/>
    <w:unhideWhenUsed/>
    <w:rPr>
      <w:sz w:val="21"/>
      <w:szCs w:val="21"/>
    </w:rPr>
  </w:style>
  <w:style w:type="paragraph" w:styleId="Footer">
    <w:name w:val="footer"/>
    <w:basedOn w:val="Normal"/>
    <w:link w:val="FooterChar"/>
    <w:uiPriority w:val="99"/>
    <w:unhideWhenUsed/>
    <w:pPr>
      <w:tabs>
        <w:tab w:val="center" w:pos="4153"/>
        <w:tab w:val="right" w:pos="8306"/>
      </w:tabs>
      <w:snapToGrid w:val="0"/>
      <w:spacing w:line="240" w:lineRule="auto"/>
      <w:jc w:val="left"/>
    </w:pPr>
    <w:rPr>
      <w:sz w:val="18"/>
      <w:szCs w:val="18"/>
    </w:rPr>
  </w:style>
  <w:style w:type="paragraph" w:styleId="CommentText">
    <w:name w:val="annotation text"/>
    <w:basedOn w:val="Normal"/>
    <w:link w:val="CommentTextChar"/>
    <w:uiPriority w:val="99"/>
    <w:unhideWhenUsed/>
    <w:qFormat/>
    <w:pPr>
      <w:jc w:val="left"/>
    </w:pPr>
  </w:style>
  <w:style w:type="character" w:customStyle="1" w:styleId="a6">
    <w:name w:val="论文正文 字符"/>
    <w:basedOn w:val="DefaultParagraphFont"/>
    <w:link w:val="a7"/>
    <w:rsid w:val="00FA43A5"/>
    <w:rPr>
      <w:rFonts w:eastAsia="SimSun"/>
      <w:kern w:val="2"/>
      <w:sz w:val="21"/>
      <w:szCs w:val="22"/>
      <w14:ligatures w14:val="standardContextual"/>
    </w:rPr>
  </w:style>
  <w:style w:type="paragraph" w:customStyle="1" w:styleId="a5">
    <w:name w:val="回复信正文"/>
    <w:basedOn w:val="Normal"/>
    <w:link w:val="a4"/>
    <w:qFormat/>
    <w:rsid w:val="00D25950"/>
    <w:pPr>
      <w:spacing w:afterLines="0" w:after="120" w:line="288" w:lineRule="auto"/>
      <w:ind w:firstLineChars="0" w:firstLine="482"/>
    </w:pPr>
    <w:rPr>
      <w:rFonts w:eastAsia="SimSun" w:cs="Times New Roman"/>
      <w:sz w:val="22"/>
      <w:szCs w:val="32"/>
    </w:rPr>
  </w:style>
  <w:style w:type="paragraph" w:styleId="Header">
    <w:name w:val="header"/>
    <w:basedOn w:val="Normal"/>
    <w:link w:val="HeaderChar"/>
    <w:uiPriority w:val="99"/>
    <w:unhideWhenUsed/>
    <w:pPr>
      <w:tabs>
        <w:tab w:val="center" w:pos="4153"/>
        <w:tab w:val="right" w:pos="8306"/>
      </w:tabs>
      <w:snapToGrid w:val="0"/>
      <w:spacing w:line="240" w:lineRule="auto"/>
      <w:jc w:val="center"/>
    </w:pPr>
    <w:rPr>
      <w:sz w:val="18"/>
      <w:szCs w:val="18"/>
    </w:rPr>
  </w:style>
  <w:style w:type="paragraph" w:customStyle="1" w:styleId="a8">
    <w:name w:val="图表空行"/>
    <w:basedOn w:val="a2"/>
    <w:next w:val="Normal"/>
    <w:qFormat/>
    <w:rsid w:val="00880A7B"/>
    <w:pPr>
      <w:spacing w:afterLines="0" w:after="0"/>
    </w:pPr>
  </w:style>
  <w:style w:type="paragraph" w:customStyle="1" w:styleId="10">
    <w:name w:val="书目1"/>
    <w:basedOn w:val="Normal"/>
    <w:next w:val="Normal"/>
    <w:uiPriority w:val="37"/>
    <w:unhideWhenUsed/>
    <w:pPr>
      <w:tabs>
        <w:tab w:val="left" w:pos="384"/>
      </w:tabs>
      <w:spacing w:after="0" w:line="240" w:lineRule="auto"/>
      <w:ind w:left="384" w:hanging="384"/>
    </w:pPr>
  </w:style>
  <w:style w:type="paragraph" w:customStyle="1" w:styleId="a7">
    <w:name w:val="论文正文"/>
    <w:basedOn w:val="Normal"/>
    <w:link w:val="a6"/>
    <w:rsid w:val="00FA43A5"/>
    <w:pPr>
      <w:spacing w:afterLines="0" w:after="0" w:line="360" w:lineRule="auto"/>
    </w:pPr>
    <w:rPr>
      <w:rFonts w:asciiTheme="minorHAnsi" w:eastAsia="SimSun" w:hAnsiTheme="minorHAnsi"/>
      <w14:ligatures w14:val="standardContextual"/>
    </w:rPr>
  </w:style>
  <w:style w:type="paragraph" w:styleId="NormalWeb">
    <w:name w:val="Normal (Web)"/>
    <w:basedOn w:val="Normal"/>
    <w:uiPriority w:val="99"/>
    <w:unhideWhenUsed/>
    <w:rsid w:val="009F344F"/>
    <w:rPr>
      <w:rFonts w:cs="Times New Roman"/>
      <w:sz w:val="24"/>
      <w:szCs w:val="24"/>
    </w:rPr>
  </w:style>
  <w:style w:type="character" w:customStyle="1" w:styleId="HeaderChar">
    <w:name w:val="Header Char"/>
    <w:basedOn w:val="DefaultParagraphFont"/>
    <w:link w:val="Header"/>
    <w:uiPriority w:val="99"/>
    <w:rPr>
      <w:rFonts w:ascii="Times New Roman" w:hAnsi="Times New Roman"/>
      <w:kern w:val="2"/>
      <w:sz w:val="18"/>
      <w:szCs w:val="18"/>
    </w:rPr>
  </w:style>
  <w:style w:type="table" w:styleId="PlainTable2">
    <w:name w:val="Plain Table 2"/>
    <w:basedOn w:val="TableNormal"/>
    <w:uiPriority w:val="42"/>
    <w:rsid w:val="00A016F8"/>
    <w:rPr>
      <w:kern w:val="2"/>
      <w:sz w:val="21"/>
      <w:szCs w:val="22"/>
      <w14:ligatures w14:val="standardContextua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3Char">
    <w:name w:val="Heading 3 Char"/>
    <w:basedOn w:val="DefaultParagraphFont"/>
    <w:link w:val="Heading3"/>
    <w:uiPriority w:val="9"/>
    <w:qFormat/>
    <w:rsid w:val="00B31991"/>
    <w:rPr>
      <w:rFonts w:ascii="Times New Roman" w:hAnsi="Times New Roman"/>
      <w:b/>
      <w:bCs/>
      <w:kern w:val="2"/>
      <w:sz w:val="24"/>
      <w:szCs w:val="32"/>
    </w:rPr>
  </w:style>
  <w:style w:type="paragraph" w:styleId="Caption">
    <w:name w:val="caption"/>
    <w:basedOn w:val="Normal"/>
    <w:next w:val="Normal"/>
    <w:uiPriority w:val="35"/>
    <w:unhideWhenUsed/>
    <w:qFormat/>
    <w:rPr>
      <w:rFonts w:asciiTheme="majorHAnsi" w:eastAsia="SimHei" w:hAnsiTheme="majorHAnsi" w:cstheme="majorBidi"/>
      <w:sz w:val="20"/>
      <w:szCs w:val="20"/>
    </w:rPr>
  </w:style>
  <w:style w:type="character" w:customStyle="1" w:styleId="CommentTextChar">
    <w:name w:val="Comment Text Char"/>
    <w:basedOn w:val="DefaultParagraphFont"/>
    <w:link w:val="CommentText"/>
    <w:uiPriority w:val="99"/>
    <w:qFormat/>
    <w:rPr>
      <w:rFonts w:ascii="Times New Roman" w:hAnsi="Times New Roman"/>
      <w:sz w:val="24"/>
    </w:rPr>
  </w:style>
  <w:style w:type="paragraph" w:customStyle="1" w:styleId="11">
    <w:name w:val="修订1"/>
    <w:hidden/>
    <w:uiPriority w:val="99"/>
    <w:unhideWhenUsed/>
    <w:rPr>
      <w:rFonts w:ascii="Times New Roman" w:hAnsi="Times New Roman"/>
      <w:kern w:val="2"/>
      <w:sz w:val="24"/>
      <w:szCs w:val="22"/>
    </w:rPr>
  </w:style>
  <w:style w:type="paragraph" w:styleId="Revision">
    <w:name w:val="Revision"/>
    <w:hidden/>
    <w:uiPriority w:val="99"/>
    <w:unhideWhenUsed/>
    <w:rsid w:val="002B0751"/>
    <w:rPr>
      <w:rFonts w:ascii="Times New Roman" w:hAnsi="Times New Roman"/>
      <w:kern w:val="2"/>
      <w:sz w:val="24"/>
      <w:szCs w:val="22"/>
    </w:rPr>
  </w:style>
  <w:style w:type="character" w:styleId="PlaceholderText">
    <w:name w:val="Placeholder Text"/>
    <w:basedOn w:val="DefaultParagraphFont"/>
    <w:uiPriority w:val="99"/>
    <w:unhideWhenUsed/>
    <w:rsid w:val="0064130B"/>
    <w:rPr>
      <w:color w:val="666666"/>
    </w:rPr>
  </w:style>
  <w:style w:type="character" w:styleId="Emphasis">
    <w:name w:val="Emphasis"/>
    <w:basedOn w:val="DefaultParagraphFont"/>
    <w:uiPriority w:val="20"/>
    <w:qFormat/>
    <w:rsid w:val="006D74B8"/>
    <w:rPr>
      <w:i/>
      <w:iCs/>
    </w:rPr>
  </w:style>
  <w:style w:type="character" w:customStyle="1" w:styleId="Heading4Char">
    <w:name w:val="Heading 4 Char"/>
    <w:basedOn w:val="DefaultParagraphFont"/>
    <w:link w:val="Heading4"/>
    <w:uiPriority w:val="9"/>
    <w:semiHidden/>
    <w:rsid w:val="0040275E"/>
    <w:rPr>
      <w:rFonts w:asciiTheme="majorHAnsi" w:eastAsiaTheme="majorEastAsia" w:hAnsiTheme="majorHAnsi" w:cstheme="majorBidi"/>
      <w:i/>
      <w:iCs/>
      <w:color w:val="365F91" w:themeColor="accent1" w:themeShade="BF"/>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microsoft.com/office/2011/relationships/people" Target="people.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349</TotalTime>
  <Pages>8</Pages>
  <Words>5280</Words>
  <Characters>30098</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pippin hsu</cp:lastModifiedBy>
  <cp:revision>8</cp:revision>
  <dcterms:created xsi:type="dcterms:W3CDTF">2026-10-08T03:04:00Z</dcterms:created>
  <dcterms:modified xsi:type="dcterms:W3CDTF">2026-10-10T08:13:00Z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id="obNkAXdZ"/&gt;&lt;style id="http://www.zotero.org/styles/harvard-cite-them-right" locale="en-GB" hasBibliography="1" bibliographyStyleHasBeenSet="1"/&gt;&lt;prefs&gt;&lt;pref name="fieldType" value="Field"/&gt;&lt;pref n</vt:lpwstr>
  </property>
  <property fmtid="{D5CDD505-2E9C-101B-9397-08002B2CF9AE}" pid="3" name="ZOTERO_PREF_2">
    <vt:lpwstr>ame="automaticJournalAbbreviations" value="true"/&gt;&lt;/prefs&gt;&lt;/data&gt;</vt:lpwstr>
  </property>
</Properties>
</file>