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71DE95" w14:textId="710C768F" w:rsidR="00945AB5" w:rsidRDefault="00FA2F11">
      <w:pPr>
        <w:pStyle w:val="a"/>
        <w:jc w:val="both"/>
      </w:pPr>
      <w:r>
        <w:rPr>
          <w:rFonts w:hint="eastAsia"/>
        </w:rPr>
        <w:t>上海与伦敦内城区骑行环境质量的多维度评估比较及政策启示</w:t>
      </w:r>
    </w:p>
    <w:p w14:paraId="183AF7B0" w14:textId="4BB14149" w:rsidR="00FA2F11" w:rsidRPr="00FA2F11" w:rsidRDefault="00FA2F11" w:rsidP="00FA2F11">
      <w:pPr>
        <w:pStyle w:val="NormalWeb"/>
        <w:spacing w:after="163"/>
        <w:ind w:firstLineChars="0" w:firstLine="0"/>
        <w:rPr>
          <w:rFonts w:eastAsia="Times New Roman"/>
          <w:kern w:val="0"/>
          <w:lang w:val="en-GB"/>
        </w:rPr>
      </w:pPr>
      <w:r w:rsidRPr="00FA2F11">
        <w:t xml:space="preserve">Multi-dimensional Assessment and Comparison of Bikeability Between Inner </w:t>
      </w:r>
      <w:r w:rsidR="0028343F">
        <w:t xml:space="preserve">Cities of </w:t>
      </w:r>
      <w:r w:rsidRPr="00FA2F11">
        <w:rPr>
          <w:rFonts w:hint="eastAsia"/>
        </w:rPr>
        <w:t>S</w:t>
      </w:r>
      <w:r w:rsidRPr="00FA2F11">
        <w:t>hanghai and London and Its Policy Implications</w:t>
      </w:r>
    </w:p>
    <w:p w14:paraId="2774CA01" w14:textId="293CCBDE" w:rsidR="00945AB5" w:rsidRPr="00FA2F11" w:rsidRDefault="00945AB5">
      <w:pPr>
        <w:spacing w:after="163"/>
        <w:ind w:firstLineChars="0" w:firstLine="0"/>
        <w:rPr>
          <w:lang w:val="en-GB"/>
        </w:rPr>
      </w:pPr>
    </w:p>
    <w:p w14:paraId="467653F7" w14:textId="77777777" w:rsidR="00945AB5" w:rsidRPr="00FA2F11" w:rsidRDefault="00945AB5">
      <w:pPr>
        <w:spacing w:after="163"/>
        <w:ind w:firstLineChars="0" w:firstLine="0"/>
        <w:jc w:val="left"/>
        <w:rPr>
          <w:lang w:val="en-GB"/>
        </w:rPr>
      </w:pPr>
    </w:p>
    <w:p w14:paraId="44800F22" w14:textId="77777777" w:rsidR="00945AB5" w:rsidRDefault="00945AB5">
      <w:pPr>
        <w:spacing w:after="163"/>
        <w:ind w:firstLineChars="0" w:firstLine="0"/>
        <w:jc w:val="left"/>
      </w:pPr>
    </w:p>
    <w:p w14:paraId="7FD17479" w14:textId="77777777" w:rsidR="00945AB5" w:rsidRPr="00DB1F44" w:rsidRDefault="002C25DB">
      <w:pPr>
        <w:spacing w:after="163"/>
        <w:ind w:firstLineChars="0" w:firstLine="0"/>
        <w:rPr>
          <w:color w:val="D9D9D9" w:themeColor="background1" w:themeShade="D9"/>
        </w:rPr>
      </w:pPr>
      <w:r w:rsidRPr="00DB1F44">
        <w:rPr>
          <w:rFonts w:hint="eastAsia"/>
          <w:b/>
          <w:bCs/>
          <w:color w:val="D9D9D9" w:themeColor="background1" w:themeShade="D9"/>
        </w:rPr>
        <w:t>摘要</w:t>
      </w:r>
      <w:r w:rsidRPr="00DB1F44">
        <w:rPr>
          <w:rFonts w:hint="eastAsia"/>
          <w:b/>
          <w:bCs/>
          <w:color w:val="D9D9D9" w:themeColor="background1" w:themeShade="D9"/>
        </w:rPr>
        <w:t>:</w:t>
      </w:r>
      <w:r w:rsidRPr="00DB1F44">
        <w:rPr>
          <w:rFonts w:hint="eastAsia"/>
          <w:color w:val="D9D9D9" w:themeColor="background1" w:themeShade="D9"/>
        </w:rPr>
        <w:t>在高度轨道化的大都市中，骑行与轨道交通的空间关系已超越单一的“到站接驳”功能。本文以上海与大阪为例，从节点吸附、网络延伸与城市结构差异三个层面构建“轨道—骑行空间组织”的比较分析框架：首先识别骑行活动与自行车设施围绕轨道节点的集聚程度，刻画节点关系；进而考察高强度骑行网络突破传统</w:t>
      </w:r>
      <w:r w:rsidRPr="00DB1F44">
        <w:rPr>
          <w:rFonts w:hint="eastAsia"/>
          <w:color w:val="D9D9D9" w:themeColor="background1" w:themeShade="D9"/>
        </w:rPr>
        <w:t>TOD</w:t>
      </w:r>
      <w:r w:rsidRPr="00DB1F44">
        <w:rPr>
          <w:rFonts w:hint="eastAsia"/>
          <w:color w:val="D9D9D9" w:themeColor="background1" w:themeShade="D9"/>
        </w:rPr>
        <w:t>步行圈、形成连续走廊乃至“轨道补网”的现象，识别网络关系；最后比较中心—外围区位、轨道密度与街道环境对不同空间关系的影响，揭示城市结构差异。研究表明，不应预设统一的“自行车—轨道互补”模式，两市比较应聚焦空间组织模式而非绝对骑行量。研究结论可为面向中国</w:t>
      </w:r>
      <w:r w:rsidRPr="00DB1F44">
        <w:rPr>
          <w:rFonts w:hint="eastAsia"/>
          <w:color w:val="D9D9D9" w:themeColor="background1" w:themeShade="D9"/>
        </w:rPr>
        <w:t>TOD</w:t>
      </w:r>
      <w:r w:rsidRPr="00DB1F44">
        <w:rPr>
          <w:rFonts w:hint="eastAsia"/>
          <w:color w:val="D9D9D9" w:themeColor="background1" w:themeShade="D9"/>
        </w:rPr>
        <w:t>的骑行空间规划提供参考。</w:t>
      </w:r>
    </w:p>
    <w:p w14:paraId="216E4018" w14:textId="77777777" w:rsidR="00945AB5" w:rsidRPr="00DB1F44" w:rsidRDefault="002C25DB">
      <w:pPr>
        <w:spacing w:after="163"/>
        <w:ind w:firstLineChars="0" w:firstLine="0"/>
        <w:rPr>
          <w:color w:val="D9D9D9" w:themeColor="background1" w:themeShade="D9"/>
        </w:rPr>
      </w:pPr>
      <w:r w:rsidRPr="00DB1F44">
        <w:rPr>
          <w:rFonts w:hint="eastAsia"/>
          <w:b/>
          <w:bCs/>
          <w:color w:val="D9D9D9" w:themeColor="background1" w:themeShade="D9"/>
        </w:rPr>
        <w:t>Abstract</w:t>
      </w:r>
      <w:r w:rsidRPr="00DB1F44">
        <w:rPr>
          <w:rFonts w:hint="eastAsia"/>
          <w:b/>
          <w:bCs/>
          <w:color w:val="D9D9D9" w:themeColor="background1" w:themeShade="D9"/>
        </w:rPr>
        <w:t>：</w:t>
      </w:r>
      <w:r w:rsidRPr="00DB1F44">
        <w:rPr>
          <w:color w:val="D9D9D9" w:themeColor="background1" w:themeShade="D9"/>
        </w:rPr>
        <w:t>In highly rail-oriented metropolises, the spatial relationship between cycling and rail transit has transcended the single function of "station access." Taking Shanghai and Osaka as cases, this paper constructs a comparative analytical framework for "rail–cycling spatial organization" from three dimensions: node agglomeration, network extension, and urban structural differences. First, it identifies the degree to which cycling activities and bicycle facilities cluster around rail nodes, thereby characterizing the node relationship. It then examines how high-intensity cycling networks break through the conventional TOD pedestrian catchment, forming continuous corridors and even a phenomenon of "transit-network supplementation" by cycling, thereby identifying the network relationship. Finally, it compares how center–periphery location, rail network density, and street environments shape these different spatial relationships, revealing urban structural differences. The findings indicate that a uniform "bicycle–rail complementarity" model should not be presupposed, and that comparisons between the two cities should focus on spatial organization patterns rather than absolute cycling volumes. The conclusions can provide a reference for cycling space planning oriented toward TOD in China.</w:t>
      </w:r>
    </w:p>
    <w:p w14:paraId="1D9D8F32" w14:textId="77777777" w:rsidR="00945AB5" w:rsidRPr="00DB1F44" w:rsidRDefault="00945AB5">
      <w:pPr>
        <w:spacing w:after="163"/>
        <w:ind w:firstLineChars="0" w:firstLine="0"/>
        <w:rPr>
          <w:color w:val="D9D9D9" w:themeColor="background1" w:themeShade="D9"/>
        </w:rPr>
      </w:pPr>
    </w:p>
    <w:p w14:paraId="408B26AA" w14:textId="77777777" w:rsidR="00945AB5" w:rsidRPr="00DB1F44" w:rsidRDefault="002C25DB">
      <w:pPr>
        <w:spacing w:after="163"/>
        <w:ind w:firstLineChars="0" w:firstLine="0"/>
        <w:rPr>
          <w:color w:val="D9D9D9" w:themeColor="background1" w:themeShade="D9"/>
        </w:rPr>
      </w:pPr>
      <w:r w:rsidRPr="00DB1F44">
        <w:rPr>
          <w:rFonts w:hint="eastAsia"/>
          <w:b/>
          <w:bCs/>
          <w:color w:val="D9D9D9" w:themeColor="background1" w:themeShade="D9"/>
        </w:rPr>
        <w:t>关键词：</w:t>
      </w:r>
      <w:r w:rsidRPr="00DB1F44">
        <w:rPr>
          <w:rFonts w:hint="eastAsia"/>
          <w:color w:val="D9D9D9" w:themeColor="background1" w:themeShade="D9"/>
        </w:rPr>
        <w:t>轨道交通；骑行空间组织；</w:t>
      </w:r>
      <w:r w:rsidRPr="00DB1F44">
        <w:rPr>
          <w:rFonts w:hint="eastAsia"/>
          <w:color w:val="D9D9D9" w:themeColor="background1" w:themeShade="D9"/>
        </w:rPr>
        <w:t>TOD</w:t>
      </w:r>
      <w:r w:rsidRPr="00DB1F44">
        <w:rPr>
          <w:rFonts w:hint="eastAsia"/>
          <w:color w:val="D9D9D9" w:themeColor="background1" w:themeShade="D9"/>
        </w:rPr>
        <w:t>；上海；大阪</w:t>
      </w:r>
    </w:p>
    <w:p w14:paraId="355715C2" w14:textId="21E25817" w:rsidR="00945AB5" w:rsidRPr="007C6B23" w:rsidRDefault="002C25DB">
      <w:pPr>
        <w:spacing w:after="163"/>
        <w:ind w:firstLineChars="0" w:firstLine="0"/>
        <w:rPr>
          <w:color w:val="000000" w:themeColor="text1"/>
        </w:rPr>
      </w:pPr>
      <w:r w:rsidRPr="007C6B23">
        <w:rPr>
          <w:rFonts w:hint="eastAsia"/>
          <w:b/>
          <w:bCs/>
          <w:color w:val="000000" w:themeColor="text1"/>
        </w:rPr>
        <w:t>Keywords</w:t>
      </w:r>
      <w:r w:rsidRPr="007C6B23">
        <w:rPr>
          <w:rFonts w:hint="eastAsia"/>
          <w:b/>
          <w:bCs/>
          <w:color w:val="000000" w:themeColor="text1"/>
        </w:rPr>
        <w:t>：</w:t>
      </w:r>
      <w:r w:rsidR="007C6B23" w:rsidRPr="007C6B23">
        <w:rPr>
          <w:color w:val="000000" w:themeColor="text1"/>
        </w:rPr>
        <w:t>Bikeability</w:t>
      </w:r>
      <w:r w:rsidRPr="007C6B23">
        <w:rPr>
          <w:rFonts w:hint="eastAsia"/>
          <w:color w:val="000000" w:themeColor="text1"/>
        </w:rPr>
        <w:t xml:space="preserve">; </w:t>
      </w:r>
      <w:r w:rsidR="007C6B23" w:rsidRPr="007C6B23">
        <w:rPr>
          <w:color w:val="000000" w:themeColor="text1"/>
        </w:rPr>
        <w:t>Cyclability</w:t>
      </w:r>
      <w:r w:rsidRPr="007C6B23">
        <w:rPr>
          <w:rFonts w:hint="eastAsia"/>
          <w:color w:val="000000" w:themeColor="text1"/>
        </w:rPr>
        <w:t xml:space="preserve">; </w:t>
      </w:r>
      <w:r w:rsidR="007C6B23" w:rsidRPr="007C6B23">
        <w:rPr>
          <w:color w:val="000000" w:themeColor="text1"/>
        </w:rPr>
        <w:t>Cycling</w:t>
      </w:r>
      <w:r w:rsidRPr="007C6B23">
        <w:rPr>
          <w:rFonts w:hint="eastAsia"/>
          <w:color w:val="000000" w:themeColor="text1"/>
        </w:rPr>
        <w:t xml:space="preserve">; Shanghai; </w:t>
      </w:r>
      <w:r w:rsidR="007C6B23" w:rsidRPr="007C6B23">
        <w:rPr>
          <w:color w:val="000000" w:themeColor="text1"/>
        </w:rPr>
        <w:t>London</w:t>
      </w:r>
    </w:p>
    <w:p w14:paraId="68EA90AF" w14:textId="77777777" w:rsidR="00945AB5" w:rsidRDefault="00945AB5">
      <w:pPr>
        <w:spacing w:after="163"/>
        <w:ind w:firstLineChars="0" w:firstLine="0"/>
      </w:pPr>
    </w:p>
    <w:p w14:paraId="09BD8848" w14:textId="77777777" w:rsidR="00945AB5" w:rsidRDefault="002C25DB">
      <w:pPr>
        <w:pStyle w:val="Heading1"/>
        <w:numPr>
          <w:ilvl w:val="0"/>
          <w:numId w:val="0"/>
        </w:numPr>
        <w:spacing w:after="65"/>
        <w:jc w:val="left"/>
      </w:pPr>
      <w:r>
        <w:rPr>
          <w:rFonts w:hint="eastAsia"/>
        </w:rPr>
        <w:lastRenderedPageBreak/>
        <w:t>引言</w:t>
      </w:r>
    </w:p>
    <w:p w14:paraId="4721EB8D" w14:textId="77777777" w:rsidR="00945AB5" w:rsidRPr="00DB1F44" w:rsidRDefault="002C25DB">
      <w:pPr>
        <w:spacing w:after="163"/>
        <w:ind w:firstLine="420"/>
        <w:rPr>
          <w:color w:val="D9D9D9" w:themeColor="background1" w:themeShade="D9"/>
        </w:rPr>
      </w:pPr>
      <w:r w:rsidRPr="00DB1F44">
        <w:rPr>
          <w:rFonts w:hint="eastAsia"/>
          <w:color w:val="D9D9D9" w:themeColor="background1" w:themeShade="D9"/>
        </w:rPr>
        <w:t>在全球城市化进程中，城市轨道交通规模的持续拓展正在深刻重塑大都市的空间结构与日常通勤模式。自</w:t>
      </w:r>
      <w:r w:rsidRPr="00DB1F44">
        <w:rPr>
          <w:rFonts w:hint="eastAsia"/>
          <w:color w:val="D9D9D9" w:themeColor="background1" w:themeShade="D9"/>
        </w:rPr>
        <w:t>20</w:t>
      </w:r>
      <w:r w:rsidRPr="00DB1F44">
        <w:rPr>
          <w:rFonts w:hint="eastAsia"/>
          <w:color w:val="D9D9D9" w:themeColor="background1" w:themeShade="D9"/>
        </w:rPr>
        <w:t>世纪末以来，公共交通导向型开发（</w:t>
      </w:r>
      <w:r w:rsidRPr="00DB1F44">
        <w:rPr>
          <w:rFonts w:hint="eastAsia"/>
          <w:color w:val="D9D9D9" w:themeColor="background1" w:themeShade="D9"/>
        </w:rPr>
        <w:t>TOD</w:t>
      </w:r>
      <w:r w:rsidRPr="00DB1F44">
        <w:rPr>
          <w:rFonts w:hint="eastAsia"/>
          <w:color w:val="D9D9D9" w:themeColor="background1" w:themeShade="D9"/>
        </w:rPr>
        <w:t>）理论从新城市主义的核心工具之一，逐步演变为涵盖交通规划、空间营造、社会公平与经济发展等多重目标的综合性城市发展范式</w:t>
      </w:r>
      <w:r w:rsidRPr="00DB1F44">
        <w:rPr>
          <w:rFonts w:hint="eastAsia"/>
          <w:color w:val="D9D9D9" w:themeColor="background1" w:themeShade="D9"/>
        </w:rPr>
        <w:t>[1]</w:t>
      </w:r>
      <w:r w:rsidRPr="00DB1F44">
        <w:rPr>
          <w:rFonts w:hint="eastAsia"/>
          <w:color w:val="D9D9D9" w:themeColor="background1" w:themeShade="D9"/>
        </w:rPr>
        <w:t>。在此发展背景下，自行车凭借低碳环保、机动灵活，且适配中短距离出行的固有优势，长期被纳入</w:t>
      </w:r>
      <w:r w:rsidRPr="00DB1F44">
        <w:rPr>
          <w:rFonts w:hint="eastAsia"/>
          <w:color w:val="D9D9D9" w:themeColor="background1" w:themeShade="D9"/>
        </w:rPr>
        <w:t>TOD</w:t>
      </w:r>
      <w:r w:rsidRPr="00DB1F44">
        <w:rPr>
          <w:rFonts w:hint="eastAsia"/>
          <w:color w:val="D9D9D9" w:themeColor="background1" w:themeShade="D9"/>
        </w:rPr>
        <w:t>体系的“最后一公里”接驳框架中，但其空间价值往往局限于轨道站点的附属功能。然而，随着轨道网络在城市尺度上的深度渗透，骑行活动所展现的多层次空间分布特征，已远非“到站接驳”所能涵盖。</w:t>
      </w:r>
    </w:p>
    <w:p w14:paraId="7B565F4E" w14:textId="77777777" w:rsidR="00945AB5" w:rsidRPr="00DB1F44" w:rsidRDefault="002C25DB">
      <w:pPr>
        <w:spacing w:after="163"/>
        <w:ind w:firstLine="420"/>
        <w:rPr>
          <w:color w:val="D9D9D9" w:themeColor="background1" w:themeShade="D9"/>
        </w:rPr>
      </w:pPr>
      <w:r w:rsidRPr="00DB1F44">
        <w:rPr>
          <w:rFonts w:hint="eastAsia"/>
          <w:color w:val="D9D9D9" w:themeColor="background1" w:themeShade="D9"/>
        </w:rPr>
        <w:t>在高度轨道化的大都市中，骑行并不只是“到站接驳”。它可能同时表现为围绕轨道节点的集聚、沿街道网络的延伸，以及在不同城市结构中的功能分化。本文的分析框架围绕三个层面展开：其一，节点关系，即骑行和自行车设施在多大程度上围绕轨道站集聚；其二，网络关系，即骑行是否突破传统</w:t>
      </w:r>
      <w:r w:rsidRPr="00DB1F44">
        <w:rPr>
          <w:rFonts w:hint="eastAsia"/>
          <w:color w:val="D9D9D9" w:themeColor="background1" w:themeShade="D9"/>
        </w:rPr>
        <w:t>TOD</w:t>
      </w:r>
      <w:r w:rsidRPr="00DB1F44">
        <w:rPr>
          <w:rFonts w:hint="eastAsia"/>
          <w:color w:val="D9D9D9" w:themeColor="background1" w:themeShade="D9"/>
        </w:rPr>
        <w:t>步行圈并形成连续或相对独立的骑行网络；其三，城市结构差异，即在中心与外围、轨道密集与稀缺地区中，上述关系如何变化。这意味着，理解骑行在轨道导向城市中的作用，需要将视角从“接驳方式的效率”转换为“空间组织的逻辑”，即把骑行视为与轨道网络并存、互动、并且可能在局部形成补缺关系的一套空间网络，而非轨道站点的附属设施。</w:t>
      </w:r>
    </w:p>
    <w:p w14:paraId="3B93206F" w14:textId="77777777" w:rsidR="00945AB5" w:rsidRPr="00DB1F44" w:rsidRDefault="002C25DB">
      <w:pPr>
        <w:spacing w:after="163"/>
        <w:ind w:firstLine="420"/>
        <w:rPr>
          <w:color w:val="D9D9D9" w:themeColor="background1" w:themeShade="D9"/>
        </w:rPr>
      </w:pPr>
      <w:r w:rsidRPr="00DB1F44">
        <w:rPr>
          <w:rFonts w:hint="eastAsia"/>
          <w:color w:val="D9D9D9" w:themeColor="background1" w:themeShade="D9"/>
        </w:rPr>
        <w:t>尽管既有研究已从接驳效率、设施配置等角度对自行车与轨道交通的关系做了大量讨论，但在两个方向上仍有推进空间。其一，多数研究聚焦于单一尺度——站点尺度的接驳距离与设施布局，网络尺度的廊道连续性，或城市尺度的整体供需关系，尺度之间缺乏连贯的分析链条，难以刻画骑行由“节点吸附”经“网络延伸”到“面域补缺”的完整过程。其二，跨城市比较多以骑行量、接驳率或使用者特征为对象，较少直接比较“轨道—骑行空间组织”本身；而对于轨道条件相近、自行车体系迥异的城市，这一比较恰能剥离轨道结构的干扰，识别设施与制度背景对空间组织的作用。上述两点，构成本文的研究切入点。</w:t>
      </w:r>
    </w:p>
    <w:p w14:paraId="165007C9" w14:textId="77777777" w:rsidR="00945AB5" w:rsidRPr="00DB1F44" w:rsidRDefault="002C25DB">
      <w:pPr>
        <w:spacing w:after="163"/>
        <w:ind w:firstLine="420"/>
        <w:rPr>
          <w:color w:val="D9D9D9" w:themeColor="background1" w:themeShade="D9"/>
        </w:rPr>
      </w:pPr>
      <w:r w:rsidRPr="00DB1F44">
        <w:rPr>
          <w:rFonts w:hint="eastAsia"/>
          <w:color w:val="D9D9D9" w:themeColor="background1" w:themeShade="D9"/>
        </w:rPr>
        <w:t>本文的贡献主要体现在三个方面。在理论上，提出并检验“节点—网络—城市结构”的多尺度骑行空间组织框架，把自行车—轨道关系的研究对象由“接驳效率”推进到“空间组织模式”，从而回答“骑行以何种空间方式嵌入轨道导向城市”，而不止于回答“骑行量有多少”。在方法上，通过“同构的轨道导向结构、异质的自行车体系”这一对照设计，为跨城市比较提供了一条剥离轨道条件、凸显设施与制度背景作用的分析路径，并以可比的指标定义回应两市数据来源不一致的难题。在实践上，研究结论可为面向中国</w:t>
      </w:r>
      <w:r w:rsidRPr="00DB1F44">
        <w:rPr>
          <w:rFonts w:hint="eastAsia"/>
          <w:color w:val="D9D9D9" w:themeColor="background1" w:themeShade="D9"/>
        </w:rPr>
        <w:t>TOD</w:t>
      </w:r>
      <w:r w:rsidRPr="00DB1F44">
        <w:rPr>
          <w:rFonts w:hint="eastAsia"/>
          <w:color w:val="D9D9D9" w:themeColor="background1" w:themeShade="D9"/>
        </w:rPr>
        <w:t>的骑行空间规划提供依据，即由“固定步行圈内的站口接驳”转向“依据实际骑行网络识别的功能性骑行腹地”，并在中心区与外围区采取差异化的骑行—轨道整合策略。</w:t>
      </w:r>
    </w:p>
    <w:p w14:paraId="17476C1C" w14:textId="233B4938" w:rsidR="00945AB5" w:rsidRDefault="002C25DB">
      <w:pPr>
        <w:pStyle w:val="Heading1"/>
        <w:numPr>
          <w:ilvl w:val="0"/>
          <w:numId w:val="0"/>
        </w:numPr>
        <w:spacing w:after="65"/>
      </w:pPr>
      <w:r>
        <w:rPr>
          <w:rFonts w:hint="eastAsia"/>
        </w:rPr>
        <w:lastRenderedPageBreak/>
        <w:t xml:space="preserve">1  </w:t>
      </w:r>
      <w:r w:rsidR="00E25BEA">
        <w:rPr>
          <w:rFonts w:hint="eastAsia"/>
        </w:rPr>
        <w:t>骑行设施的城市意义与国际实践</w:t>
      </w:r>
    </w:p>
    <w:p w14:paraId="126B5EA0" w14:textId="621787F8" w:rsidR="00945AB5" w:rsidRDefault="002C25DB">
      <w:pPr>
        <w:pStyle w:val="Heading2"/>
        <w:numPr>
          <w:ilvl w:val="0"/>
          <w:numId w:val="0"/>
        </w:numPr>
        <w:spacing w:after="65"/>
        <w:rPr>
          <w:rFonts w:hint="eastAsia"/>
        </w:rPr>
      </w:pPr>
      <w:r>
        <w:rPr>
          <w:rFonts w:hint="eastAsia"/>
        </w:rPr>
        <w:t xml:space="preserve">1.1  </w:t>
      </w:r>
      <w:r w:rsidR="00E25BEA">
        <w:rPr>
          <w:rFonts w:hint="eastAsia"/>
        </w:rPr>
        <w:t>骑行在城市政策中的再定位</w:t>
      </w:r>
    </w:p>
    <w:p w14:paraId="0C15C1D5" w14:textId="7D47AB79" w:rsidR="00945AB5" w:rsidRDefault="002C25DB">
      <w:pPr>
        <w:pStyle w:val="Heading2"/>
        <w:numPr>
          <w:ilvl w:val="0"/>
          <w:numId w:val="0"/>
        </w:numPr>
        <w:spacing w:after="65"/>
        <w:rPr>
          <w:rFonts w:hint="eastAsia"/>
        </w:rPr>
      </w:pPr>
      <w:r>
        <w:rPr>
          <w:rFonts w:hint="eastAsia"/>
        </w:rPr>
        <w:t xml:space="preserve">1.2  </w:t>
      </w:r>
      <w:r w:rsidR="00E25BEA">
        <w:rPr>
          <w:rFonts w:hint="eastAsia"/>
        </w:rPr>
        <w:t>骑行设施内涵的演变：从路段到网络与街道</w:t>
      </w:r>
    </w:p>
    <w:p w14:paraId="0F43D4C8" w14:textId="3AE55A32" w:rsidR="00945AB5" w:rsidRDefault="002C25DB">
      <w:pPr>
        <w:pStyle w:val="Heading2"/>
        <w:numPr>
          <w:ilvl w:val="0"/>
          <w:numId w:val="0"/>
        </w:numPr>
        <w:spacing w:after="65"/>
      </w:pPr>
      <w:r>
        <w:rPr>
          <w:rFonts w:hint="eastAsia"/>
        </w:rPr>
        <w:t xml:space="preserve">1.3  </w:t>
      </w:r>
      <w:r w:rsidR="00E25BEA">
        <w:rPr>
          <w:rFonts w:hint="eastAsia"/>
        </w:rPr>
        <w:t>国际实践中的目标设定与成效评价</w:t>
      </w:r>
      <w:r w:rsidR="00FE1EE5">
        <w:rPr>
          <w:rFonts w:hint="eastAsia"/>
        </w:rPr>
        <w:t>标准</w:t>
      </w:r>
    </w:p>
    <w:p w14:paraId="1E1E63DB" w14:textId="7E7AFE96" w:rsidR="00FE4519" w:rsidRDefault="00FE4519" w:rsidP="00CA10CB">
      <w:pPr>
        <w:spacing w:after="163"/>
        <w:ind w:firstLine="420"/>
        <w:rPr>
          <w:rFonts w:ascii="SimSun" w:eastAsia="SimSun" w:hAnsi="SimSun" w:cs="SimSun"/>
          <w:color w:val="000000" w:themeColor="text1"/>
        </w:rPr>
      </w:pPr>
      <w:r>
        <w:t>二战后，汽车在欧美发达国家快速普及，推动了以机动车为主导的道路规划与城市扩张，使自行车出行比例</w:t>
      </w:r>
      <w:r>
        <w:rPr>
          <w:rFonts w:hint="eastAsia"/>
        </w:rPr>
        <w:t>大幅下滑</w:t>
      </w:r>
      <w:r>
        <w:rPr>
          <w:rFonts w:ascii="SimSun" w:eastAsia="SimSun" w:hAnsi="SimSun" w:cs="SimSun" w:hint="eastAsia"/>
        </w:rPr>
        <w:t>。</w:t>
      </w:r>
      <w:r>
        <w:rPr>
          <w:rFonts w:ascii="SimSun" w:eastAsia="SimSun" w:hAnsi="SimSun" w:cs="SimSun" w:hint="eastAsia"/>
        </w:rPr>
        <w:t>自20世纪70年代起，以荷兰、丹麦</w:t>
      </w:r>
      <w:r w:rsidR="000C2F7B">
        <w:rPr>
          <w:rFonts w:ascii="SimSun" w:eastAsia="SimSun" w:hAnsi="SimSun" w:cs="SimSun" w:hint="eastAsia"/>
        </w:rPr>
        <w:t>为代表的欧洲国家率先将提升骑行出行升级为国家公共政策目标，其建设设施与政策框架随后被欧洲其他城市以及北美、澳大利亚等地广泛借鉴。在推进骑行基础设施建设的过程中，厘清基础设施的建设目标</w:t>
      </w:r>
      <w:r w:rsidR="000C2F7B">
        <w:rPr>
          <w:rFonts w:ascii="SimSun" w:eastAsia="SimSun" w:hAnsi="SimSun" w:cs="SimSun" w:hint="eastAsia"/>
          <w:color w:val="000000" w:themeColor="text1"/>
        </w:rPr>
        <w:t>及其成效评价标准是首要的理论与工程问题，其中荷兰提出的目标体系最具代表性与国际影响。</w:t>
      </w:r>
    </w:p>
    <w:p w14:paraId="5AA66839" w14:textId="6D01AA6F" w:rsidR="000C2F7B" w:rsidRPr="00141D78" w:rsidRDefault="000C2F7B" w:rsidP="00CA10CB">
      <w:pPr>
        <w:spacing w:after="163"/>
        <w:ind w:firstLine="420"/>
        <w:rPr>
          <w:rFonts w:ascii="SimSun" w:eastAsia="SimSun" w:hAnsi="SimSun" w:cs="SimSun"/>
          <w:color w:val="000000" w:themeColor="text1"/>
        </w:rPr>
      </w:pPr>
      <w:r>
        <w:rPr>
          <w:rFonts w:ascii="SimSun" w:eastAsia="SimSun" w:hAnsi="SimSun" w:cs="SimSun" w:hint="eastAsia"/>
          <w:color w:val="000000" w:themeColor="text1"/>
        </w:rPr>
        <w:t>荷兰骑行网络目标的构建，经历了从“工程隔离原则”向“使用者经验驱动的标准体系”的演进</w:t>
      </w:r>
      <w:r w:rsidR="00141D78">
        <w:rPr>
          <w:rFonts w:ascii="SimSun" w:eastAsia="SimSun" w:hAnsi="SimSun" w:cs="SimSun" w:hint="eastAsia"/>
          <w:color w:val="000000" w:themeColor="text1"/>
        </w:rPr>
        <w:t>。</w:t>
      </w:r>
      <w:r w:rsidR="00141D78">
        <w:t>早在</w:t>
      </w:r>
      <w:r w:rsidR="00141D78">
        <w:t>20</w:t>
      </w:r>
      <w:r w:rsidR="00141D78">
        <w:t>世纪</w:t>
      </w:r>
      <w:r w:rsidR="00141D78">
        <w:t>20</w:t>
      </w:r>
      <w:r w:rsidR="00141D78">
        <w:t>年代，荷兰即确立了骑行与机动车空间分离的道路工程基本原则；</w:t>
      </w:r>
      <w:r w:rsidR="00141D78">
        <w:t>70</w:t>
      </w:r>
      <w:r w:rsidR="00141D78">
        <w:t>年代交通安全危机的爆发催生了骑行者权益运动，荷兰骑行者联盟（</w:t>
      </w:r>
      <w:r w:rsidR="00141D78">
        <w:t>Fietsersbond</w:t>
      </w:r>
      <w:r w:rsidR="00141D78">
        <w:t>）于</w:t>
      </w:r>
      <w:r w:rsidR="00141D78">
        <w:t>1975</w:t>
      </w:r>
      <w:r w:rsidR="00141D78">
        <w:t>年起将使用者体验引入规划实践，并于</w:t>
      </w:r>
      <w:r w:rsidR="00141D78">
        <w:t>80</w:t>
      </w:r>
      <w:r w:rsidR="00141D78">
        <w:t>年代将其系统归纳为优质骑行网络须具备的五大核心品质</w:t>
      </w:r>
      <w:r w:rsidR="00141D78">
        <w:t>——</w:t>
      </w:r>
      <w:r w:rsidR="00141D78">
        <w:t>连贯性（</w:t>
      </w:r>
      <w:r w:rsidR="00141D78">
        <w:t>Coherence</w:t>
      </w:r>
      <w:r w:rsidR="00141D78">
        <w:t>）、直接性（</w:t>
      </w:r>
      <w:r w:rsidR="00141D78">
        <w:t>Directness</w:t>
      </w:r>
      <w:r w:rsidR="00141D78">
        <w:t>）、安全性（</w:t>
      </w:r>
      <w:r w:rsidR="00141D78">
        <w:t>Safety</w:t>
      </w:r>
      <w:r w:rsidR="00141D78">
        <w:t>）、舒适性（</w:t>
      </w:r>
      <w:r w:rsidR="00141D78">
        <w:t>Comfort</w:t>
      </w:r>
      <w:r w:rsidR="00141D78">
        <w:t>）与吸引力（</w:t>
      </w:r>
      <w:r w:rsidR="00141D78">
        <w:t>Attractiveness</w:t>
      </w:r>
      <w:r w:rsidR="00141D78">
        <w:t>）。这一经验体系经阿姆斯特丹本地实践梳理后，在国家财政资助下由荷兰交通与基础设施知识中心</w:t>
      </w:r>
      <w:r w:rsidR="00141D78">
        <w:t xml:space="preserve"> CROW</w:t>
      </w:r>
      <w:r w:rsidR="00141D78" w:rsidRPr="00CB1C97">
        <w:t>正式总结并出版为全国性技术指南《</w:t>
      </w:r>
      <w:r w:rsidR="00141D78" w:rsidRPr="00CB1C97">
        <w:t>Sign up for the bike</w:t>
      </w:r>
      <w:r w:rsidR="00141D78" w:rsidRPr="00CB1C97">
        <w:t>》，后续更名为《</w:t>
      </w:r>
      <w:r w:rsidR="00141D78" w:rsidRPr="00CB1C97">
        <w:t>Design manual for bicycle traffic</w:t>
      </w:r>
      <w:r w:rsidR="00141D78" w:rsidRPr="00CB1C97">
        <w:t>》（</w:t>
      </w:r>
      <w:r w:rsidR="00141D78" w:rsidRPr="00CB1C97">
        <w:t>2006</w:t>
      </w:r>
      <w:r w:rsidR="00141D78" w:rsidRPr="00CB1C97">
        <w:t>年及</w:t>
      </w:r>
      <w:r w:rsidR="00141D78" w:rsidRPr="00CB1C97">
        <w:t>2016</w:t>
      </w:r>
      <w:r w:rsidR="00141D78" w:rsidRPr="00CB1C97">
        <w:t>年版），从而奠定了国际通行的</w:t>
      </w:r>
      <w:r w:rsidR="00141D78" w:rsidRPr="00CB1C97">
        <w:t xml:space="preserve"> CROW </w:t>
      </w:r>
      <w:r w:rsidR="00141D78" w:rsidRPr="00CB1C97">
        <w:t>骑行网络设计标准</w:t>
      </w:r>
      <w:r w:rsidR="006F52AF">
        <w:rPr>
          <w:rFonts w:hint="eastAsia"/>
        </w:rPr>
        <w:t xml:space="preserve"> </w:t>
      </w:r>
      <w:r w:rsidR="00141D78" w:rsidRPr="00CB1C97">
        <w:rPr>
          <w:rFonts w:hint="eastAsia"/>
        </w:rPr>
        <w:t>。</w:t>
      </w:r>
    </w:p>
    <w:p w14:paraId="4DC52910" w14:textId="77777777" w:rsidR="00141D78" w:rsidRPr="00141D78" w:rsidRDefault="00141D78" w:rsidP="00141D78">
      <w:pPr>
        <w:spacing w:after="163"/>
        <w:ind w:firstLine="420"/>
        <w:rPr>
          <w:rFonts w:ascii="SimSun" w:eastAsia="SimSun" w:hAnsi="SimSun" w:cs="SimSun"/>
          <w:color w:val="000000" w:themeColor="text1"/>
        </w:rPr>
      </w:pPr>
      <w:r w:rsidRPr="00141D78">
        <w:rPr>
          <w:rFonts w:ascii="SimSun" w:eastAsia="SimSun" w:hAnsi="SimSun" w:cs="SimSun" w:hint="eastAsia"/>
          <w:color w:val="000000" w:themeColor="text1"/>
        </w:rPr>
        <w:t>这五项品质共同构成了骑行基础设施建设的系统化目标体系</w:t>
      </w:r>
      <w:r w:rsidRPr="00141D78">
        <w:rPr>
          <w:rFonts w:ascii="SimSun" w:eastAsia="SimSun" w:hAnsi="SimSun" w:cs="SimSun"/>
          <w:color w:val="000000" w:themeColor="text1"/>
        </w:rPr>
        <w:t>：</w:t>
      </w:r>
    </w:p>
    <w:p w14:paraId="1FC53C08" w14:textId="470EA456" w:rsidR="00141D78" w:rsidRPr="00141D78" w:rsidRDefault="00141D78" w:rsidP="00141D78">
      <w:pPr>
        <w:pStyle w:val="ListParagraph"/>
        <w:numPr>
          <w:ilvl w:val="0"/>
          <w:numId w:val="6"/>
        </w:numPr>
        <w:spacing w:after="163"/>
        <w:ind w:firstLineChars="0"/>
        <w:rPr>
          <w:rFonts w:ascii="SimSun" w:eastAsia="SimSun" w:hAnsi="SimSun" w:cs="SimSun"/>
          <w:color w:val="000000" w:themeColor="text1"/>
        </w:rPr>
      </w:pPr>
      <w:r w:rsidRPr="00141D78">
        <w:rPr>
          <w:rFonts w:ascii="SimSun" w:eastAsia="SimSun" w:hAnsi="SimSun" w:cs="SimSun" w:hint="eastAsia"/>
          <w:color w:val="000000" w:themeColor="text1"/>
        </w:rPr>
        <w:t>连贯性</w:t>
      </w:r>
      <w:r w:rsidR="007C6B23">
        <w:rPr>
          <w:rFonts w:ascii="SimSun" w:eastAsia="SimSun" w:hAnsi="SimSun" w:cs="SimSun" w:hint="eastAsia"/>
          <w:color w:val="000000" w:themeColor="text1"/>
        </w:rPr>
        <w:t>：</w:t>
      </w:r>
      <w:r w:rsidRPr="00141D78">
        <w:rPr>
          <w:rFonts w:ascii="SimSun" w:eastAsia="SimSun" w:hAnsi="SimSun" w:cs="SimSun" w:hint="eastAsia"/>
          <w:color w:val="000000" w:themeColor="text1"/>
        </w:rPr>
        <w:t>要求基础设施构成完整无缝的网络，保障起点至终点的连续可达，并实现与公共交通的有效衔接</w:t>
      </w:r>
      <w:r w:rsidRPr="00141D78">
        <w:rPr>
          <w:rFonts w:ascii="SimSun" w:eastAsia="SimSun" w:hAnsi="SimSun" w:cs="SimSun"/>
          <w:color w:val="000000" w:themeColor="text1"/>
        </w:rPr>
        <w:t>；</w:t>
      </w:r>
    </w:p>
    <w:p w14:paraId="6C9CC3FD" w14:textId="24551606" w:rsidR="00141D78" w:rsidRPr="00141D78" w:rsidRDefault="00141D78" w:rsidP="00141D78">
      <w:pPr>
        <w:pStyle w:val="ListParagraph"/>
        <w:numPr>
          <w:ilvl w:val="0"/>
          <w:numId w:val="6"/>
        </w:numPr>
        <w:spacing w:after="163"/>
        <w:ind w:firstLineChars="0"/>
        <w:rPr>
          <w:rFonts w:ascii="SimSun" w:eastAsia="SimSun" w:hAnsi="SimSun" w:cs="SimSun"/>
          <w:color w:val="000000" w:themeColor="text1"/>
        </w:rPr>
      </w:pPr>
      <w:r w:rsidRPr="00141D78">
        <w:rPr>
          <w:rFonts w:ascii="SimSun" w:eastAsia="SimSun" w:hAnsi="SimSun" w:cs="SimSun" w:hint="eastAsia"/>
          <w:color w:val="000000" w:themeColor="text1"/>
        </w:rPr>
        <w:t>直接性</w:t>
      </w:r>
      <w:r w:rsidR="007C6B23">
        <w:rPr>
          <w:rFonts w:ascii="SimSun" w:eastAsia="SimSun" w:hAnsi="SimSun" w:cs="SimSun" w:hint="eastAsia"/>
          <w:color w:val="000000" w:themeColor="text1"/>
        </w:rPr>
        <w:t>：</w:t>
      </w:r>
      <w:r w:rsidRPr="00141D78">
        <w:rPr>
          <w:rFonts w:ascii="SimSun" w:eastAsia="SimSun" w:hAnsi="SimSun" w:cs="SimSun" w:hint="eastAsia"/>
          <w:color w:val="000000" w:themeColor="text1"/>
        </w:rPr>
        <w:t>旨在通过减少绕行与信号耽搁，提升骑行在时效上的竞争优势</w:t>
      </w:r>
      <w:r w:rsidRPr="00141D78">
        <w:rPr>
          <w:rFonts w:ascii="SimSun" w:eastAsia="SimSun" w:hAnsi="SimSun" w:cs="SimSun"/>
          <w:color w:val="000000" w:themeColor="text1"/>
        </w:rPr>
        <w:t>；</w:t>
      </w:r>
    </w:p>
    <w:p w14:paraId="5517ACE2" w14:textId="3665B35E" w:rsidR="00141D78" w:rsidRPr="00141D78" w:rsidRDefault="00141D78" w:rsidP="00141D78">
      <w:pPr>
        <w:pStyle w:val="ListParagraph"/>
        <w:numPr>
          <w:ilvl w:val="0"/>
          <w:numId w:val="6"/>
        </w:numPr>
        <w:spacing w:after="163"/>
        <w:ind w:firstLineChars="0"/>
        <w:rPr>
          <w:rFonts w:ascii="SimSun" w:eastAsia="SimSun" w:hAnsi="SimSun" w:cs="SimSun"/>
          <w:color w:val="000000" w:themeColor="text1"/>
        </w:rPr>
      </w:pPr>
      <w:r w:rsidRPr="00141D78">
        <w:rPr>
          <w:rFonts w:ascii="SimSun" w:eastAsia="SimSun" w:hAnsi="SimSun" w:cs="SimSun" w:hint="eastAsia"/>
          <w:color w:val="000000" w:themeColor="text1"/>
        </w:rPr>
        <w:t>安全性</w:t>
      </w:r>
      <w:r w:rsidR="007C6B23">
        <w:rPr>
          <w:rFonts w:ascii="SimSun" w:eastAsia="SimSun" w:hAnsi="SimSun" w:cs="SimSun" w:hint="eastAsia"/>
          <w:color w:val="000000" w:themeColor="text1"/>
        </w:rPr>
        <w:t>：</w:t>
      </w:r>
      <w:r w:rsidRPr="00141D78">
        <w:rPr>
          <w:rFonts w:ascii="SimSun" w:eastAsia="SimSun" w:hAnsi="SimSun" w:cs="SimSun" w:hint="eastAsia"/>
          <w:color w:val="000000" w:themeColor="text1"/>
        </w:rPr>
        <w:t>兼顾客观的交通事故防控与主观的骑行安全感知</w:t>
      </w:r>
      <w:r w:rsidRPr="00141D78">
        <w:rPr>
          <w:rFonts w:ascii="SimSun" w:eastAsia="SimSun" w:hAnsi="SimSun" w:cs="SimSun"/>
          <w:color w:val="000000" w:themeColor="text1"/>
        </w:rPr>
        <w:t>；</w:t>
      </w:r>
    </w:p>
    <w:p w14:paraId="08502A34" w14:textId="49E3ABB0" w:rsidR="00141D78" w:rsidRPr="00141D78" w:rsidRDefault="00141D78" w:rsidP="00141D78">
      <w:pPr>
        <w:pStyle w:val="ListParagraph"/>
        <w:numPr>
          <w:ilvl w:val="0"/>
          <w:numId w:val="6"/>
        </w:numPr>
        <w:spacing w:after="163"/>
        <w:ind w:firstLineChars="0"/>
        <w:rPr>
          <w:rFonts w:ascii="SimSun" w:eastAsia="SimSun" w:hAnsi="SimSun" w:cs="SimSun"/>
          <w:color w:val="000000" w:themeColor="text1"/>
        </w:rPr>
      </w:pPr>
      <w:r w:rsidRPr="00141D78">
        <w:rPr>
          <w:rFonts w:ascii="SimSun" w:eastAsia="SimSun" w:hAnsi="SimSun" w:cs="SimSun" w:hint="eastAsia"/>
          <w:color w:val="000000" w:themeColor="text1"/>
        </w:rPr>
        <w:t>舒适性</w:t>
      </w:r>
      <w:r w:rsidR="007C6B23">
        <w:rPr>
          <w:rFonts w:ascii="SimSun" w:eastAsia="SimSun" w:hAnsi="SimSun" w:cs="SimSun" w:hint="eastAsia"/>
          <w:color w:val="000000" w:themeColor="text1"/>
        </w:rPr>
        <w:t>：</w:t>
      </w:r>
      <w:r w:rsidRPr="00141D78">
        <w:rPr>
          <w:rFonts w:ascii="SimSun" w:eastAsia="SimSun" w:hAnsi="SimSun" w:cs="SimSun" w:hint="eastAsia"/>
          <w:color w:val="000000" w:themeColor="text1"/>
        </w:rPr>
        <w:t>强调骑行过程的顺畅与省力，降低体力消耗与注意力负担</w:t>
      </w:r>
      <w:r w:rsidRPr="00141D78">
        <w:rPr>
          <w:rFonts w:ascii="SimSun" w:eastAsia="SimSun" w:hAnsi="SimSun" w:cs="SimSun"/>
          <w:color w:val="000000" w:themeColor="text1"/>
        </w:rPr>
        <w:t>；</w:t>
      </w:r>
    </w:p>
    <w:p w14:paraId="066FC70A" w14:textId="7908DA27" w:rsidR="00141D78" w:rsidRPr="00141D78" w:rsidRDefault="00141D78" w:rsidP="00141D78">
      <w:pPr>
        <w:pStyle w:val="ListParagraph"/>
        <w:numPr>
          <w:ilvl w:val="0"/>
          <w:numId w:val="6"/>
        </w:numPr>
        <w:spacing w:after="163"/>
        <w:ind w:firstLineChars="0"/>
        <w:rPr>
          <w:rFonts w:ascii="SimSun" w:eastAsia="SimSun" w:hAnsi="SimSun" w:cs="SimSun"/>
          <w:color w:val="000000" w:themeColor="text1"/>
        </w:rPr>
      </w:pPr>
      <w:r w:rsidRPr="00141D78">
        <w:rPr>
          <w:rFonts w:ascii="SimSun" w:eastAsia="SimSun" w:hAnsi="SimSun" w:cs="SimSun" w:hint="eastAsia"/>
          <w:color w:val="000000" w:themeColor="text1"/>
        </w:rPr>
        <w:t>吸引力</w:t>
      </w:r>
      <w:r w:rsidR="007C6B23">
        <w:rPr>
          <w:rFonts w:ascii="SimSun" w:eastAsia="SimSun" w:hAnsi="SimSun" w:cs="SimSun" w:hint="eastAsia"/>
          <w:color w:val="000000" w:themeColor="text1"/>
        </w:rPr>
        <w:t>：</w:t>
      </w:r>
      <w:r w:rsidRPr="00141D78">
        <w:rPr>
          <w:rFonts w:ascii="SimSun" w:eastAsia="SimSun" w:hAnsi="SimSun" w:cs="SimSun" w:hint="eastAsia"/>
          <w:color w:val="000000" w:themeColor="text1"/>
        </w:rPr>
        <w:t>则注重设施与周边环境的系统融合，提升骑行的空间品质与出行体验</w:t>
      </w:r>
      <w:r w:rsidRPr="00141D78">
        <w:rPr>
          <w:rFonts w:ascii="SimSun" w:eastAsia="SimSun" w:hAnsi="SimSun" w:cs="SimSun"/>
          <w:color w:val="000000" w:themeColor="text1"/>
        </w:rPr>
        <w:t>。</w:t>
      </w:r>
    </w:p>
    <w:p w14:paraId="09337C50" w14:textId="590BB05E" w:rsidR="00141D78" w:rsidRPr="00141D78" w:rsidRDefault="00141D78" w:rsidP="00141D78">
      <w:pPr>
        <w:spacing w:after="163"/>
        <w:ind w:firstLine="420"/>
        <w:rPr>
          <w:rFonts w:ascii="SimSun" w:eastAsia="SimSun" w:hAnsi="SimSun" w:cs="SimSun"/>
          <w:color w:val="000000" w:themeColor="text1"/>
        </w:rPr>
      </w:pPr>
      <w:r w:rsidRPr="00141D78">
        <w:rPr>
          <w:rFonts w:ascii="SimSun" w:eastAsia="SimSun" w:hAnsi="SimSun" w:cs="SimSun" w:hint="eastAsia"/>
          <w:color w:val="000000" w:themeColor="text1"/>
        </w:rPr>
        <w:t>上述五项品质处于等同权重的平列层级，构成了多目标协同的设计框架</w:t>
      </w:r>
      <w:r w:rsidRPr="00141D78">
        <w:rPr>
          <w:rFonts w:ascii="SimSun" w:eastAsia="SimSun" w:hAnsi="SimSun" w:cs="SimSun"/>
          <w:color w:val="000000" w:themeColor="text1"/>
        </w:rPr>
        <w:t>。</w:t>
      </w:r>
    </w:p>
    <w:p w14:paraId="1734CCF3" w14:textId="4FEF0416" w:rsidR="00141D78" w:rsidRPr="009C12F6" w:rsidRDefault="00141D78" w:rsidP="00141D78">
      <w:pPr>
        <w:spacing w:after="163"/>
        <w:ind w:firstLine="420"/>
        <w:rPr>
          <w:rFonts w:ascii="SimSun" w:eastAsia="SimSun" w:hAnsi="SimSun" w:cs="SimSun"/>
          <w:color w:val="BFBFBF" w:themeColor="background1" w:themeShade="BF"/>
        </w:rPr>
      </w:pPr>
      <w:r w:rsidRPr="00141D78">
        <w:rPr>
          <w:rFonts w:ascii="SimSun" w:eastAsia="SimSun" w:hAnsi="SimSun" w:cs="SimSun" w:hint="eastAsia"/>
          <w:color w:val="000000" w:themeColor="text1"/>
        </w:rPr>
        <w:t>更为重要的是，这五项品质已从最初的设计指南演变为衡量骑行设施成效的通用标准与评价范式。学者们普遍将其视为超越特定地理语境、适用于各类城市评估的普适性框架</w:t>
      </w:r>
      <w:r w:rsidRPr="009C12F6">
        <w:rPr>
          <w:rFonts w:ascii="SimSun" w:eastAsia="SimSun" w:hAnsi="SimSun" w:cs="SimSun" w:hint="eastAsia"/>
          <w:color w:val="BFBFBF" w:themeColor="background1" w:themeShade="BF"/>
        </w:rPr>
        <w:t>；欧盟在相关骑行项目指南中亦将其列为城市骑行环境建设的基本质量准则与评估依据。在评估领域的实证研究中，</w:t>
      </w:r>
      <w:r w:rsidRPr="009C12F6">
        <w:rPr>
          <w:rFonts w:ascii="SimSun" w:eastAsia="SimSun" w:hAnsi="SimSun" w:cs="SimSun"/>
          <w:color w:val="BFBFBF" w:themeColor="background1" w:themeShade="BF"/>
        </w:rPr>
        <w:t xml:space="preserve">Hull </w:t>
      </w:r>
      <w:r w:rsidRPr="009C12F6">
        <w:rPr>
          <w:rFonts w:ascii="SimSun" w:eastAsia="SimSun" w:hAnsi="SimSun" w:cs="SimSun" w:hint="eastAsia"/>
          <w:color w:val="BFBFBF" w:themeColor="background1" w:themeShade="BF"/>
        </w:rPr>
        <w:t>与</w:t>
      </w:r>
      <w:r w:rsidRPr="009C12F6">
        <w:rPr>
          <w:rFonts w:ascii="SimSun" w:eastAsia="SimSun" w:hAnsi="SimSun" w:cs="SimSun"/>
          <w:color w:val="BFBFBF" w:themeColor="background1" w:themeShade="BF"/>
        </w:rPr>
        <w:t xml:space="preserve"> </w:t>
      </w:r>
      <w:proofErr w:type="spellStart"/>
      <w:r w:rsidRPr="009C12F6">
        <w:rPr>
          <w:rFonts w:ascii="SimSun" w:eastAsia="SimSun" w:hAnsi="SimSun" w:cs="SimSun"/>
          <w:color w:val="BFBFBF" w:themeColor="background1" w:themeShade="BF"/>
        </w:rPr>
        <w:t>O'Holleran</w:t>
      </w:r>
      <w:proofErr w:type="spellEnd"/>
      <w:r w:rsidRPr="009C12F6">
        <w:rPr>
          <w:rFonts w:ascii="SimSun" w:eastAsia="SimSun" w:hAnsi="SimSun" w:cs="SimSun"/>
          <w:color w:val="BFBFBF" w:themeColor="background1" w:themeShade="BF"/>
        </w:rPr>
        <w:t xml:space="preserve"> </w:t>
      </w:r>
      <w:r w:rsidRPr="009C12F6">
        <w:rPr>
          <w:rFonts w:ascii="SimSun" w:eastAsia="SimSun" w:hAnsi="SimSun" w:cs="SimSun" w:hint="eastAsia"/>
          <w:color w:val="BFBFBF" w:themeColor="background1" w:themeShade="BF"/>
        </w:rPr>
        <w:t>基于</w:t>
      </w:r>
      <w:r w:rsidRPr="009C12F6">
        <w:rPr>
          <w:rFonts w:ascii="SimSun" w:eastAsia="SimSun" w:hAnsi="SimSun" w:cs="SimSun"/>
          <w:color w:val="BFBFBF" w:themeColor="background1" w:themeShade="BF"/>
        </w:rPr>
        <w:t xml:space="preserve"> CROW </w:t>
      </w:r>
      <w:r w:rsidRPr="009C12F6">
        <w:rPr>
          <w:rFonts w:ascii="SimSun" w:eastAsia="SimSun" w:hAnsi="SimSun" w:cs="SimSun" w:hint="eastAsia"/>
          <w:color w:val="BFBFBF" w:themeColor="background1" w:themeShade="BF"/>
        </w:rPr>
        <w:t>标准对欧洲六座城市的骑行设施开展了系统审计</w:t>
      </w:r>
      <w:r w:rsidRPr="009C12F6">
        <w:rPr>
          <w:rFonts w:ascii="SimSun" w:eastAsia="SimSun" w:hAnsi="SimSun" w:cs="SimSun"/>
          <w:color w:val="BFBFBF" w:themeColor="background1" w:themeShade="BF"/>
        </w:rPr>
        <w:t>[7]</w:t>
      </w:r>
      <w:r w:rsidRPr="009C12F6">
        <w:rPr>
          <w:rFonts w:ascii="SimSun" w:eastAsia="SimSun" w:hAnsi="SimSun" w:cs="SimSun" w:hint="eastAsia"/>
          <w:color w:val="BFBFBF" w:themeColor="background1" w:themeShade="BF"/>
        </w:rPr>
        <w:t>；</w:t>
      </w:r>
      <w:proofErr w:type="spellStart"/>
      <w:r w:rsidRPr="009C12F6">
        <w:rPr>
          <w:rFonts w:ascii="SimSun" w:eastAsia="SimSun" w:hAnsi="SimSun" w:cs="SimSun"/>
          <w:color w:val="BFBFBF" w:themeColor="background1" w:themeShade="BF"/>
        </w:rPr>
        <w:t>Weikl</w:t>
      </w:r>
      <w:proofErr w:type="spellEnd"/>
      <w:r w:rsidRPr="009C12F6">
        <w:rPr>
          <w:rFonts w:ascii="SimSun" w:eastAsia="SimSun" w:hAnsi="SimSun" w:cs="SimSun"/>
          <w:color w:val="BFBFBF" w:themeColor="background1" w:themeShade="BF"/>
        </w:rPr>
        <w:t xml:space="preserve"> </w:t>
      </w:r>
      <w:r w:rsidRPr="009C12F6">
        <w:rPr>
          <w:rFonts w:ascii="SimSun" w:eastAsia="SimSun" w:hAnsi="SimSun" w:cs="SimSun" w:hint="eastAsia"/>
          <w:color w:val="BFBFBF" w:themeColor="background1" w:themeShade="BF"/>
        </w:rPr>
        <w:t>与</w:t>
      </w:r>
      <w:r w:rsidRPr="009C12F6">
        <w:rPr>
          <w:rFonts w:ascii="SimSun" w:eastAsia="SimSun" w:hAnsi="SimSun" w:cs="SimSun"/>
          <w:color w:val="BFBFBF" w:themeColor="background1" w:themeShade="BF"/>
        </w:rPr>
        <w:t xml:space="preserve"> </w:t>
      </w:r>
      <w:r w:rsidRPr="009C12F6">
        <w:rPr>
          <w:rFonts w:ascii="SimSun" w:eastAsia="SimSun" w:hAnsi="SimSun" w:cs="SimSun"/>
          <w:color w:val="BFBFBF" w:themeColor="background1" w:themeShade="BF"/>
        </w:rPr>
        <w:lastRenderedPageBreak/>
        <w:t xml:space="preserve">Mayer </w:t>
      </w:r>
      <w:r w:rsidRPr="009C12F6">
        <w:rPr>
          <w:rFonts w:ascii="SimSun" w:eastAsia="SimSun" w:hAnsi="SimSun" w:cs="SimSun" w:hint="eastAsia"/>
          <w:color w:val="BFBFBF" w:themeColor="background1" w:themeShade="BF"/>
        </w:rPr>
        <w:t>遵照</w:t>
      </w:r>
      <w:r w:rsidRPr="009C12F6">
        <w:rPr>
          <w:rFonts w:ascii="SimSun" w:eastAsia="SimSun" w:hAnsi="SimSun" w:cs="SimSun"/>
          <w:color w:val="BFBFBF" w:themeColor="background1" w:themeShade="BF"/>
        </w:rPr>
        <w:t>“</w:t>
      </w:r>
      <w:r w:rsidRPr="009C12F6">
        <w:rPr>
          <w:rFonts w:ascii="SimSun" w:eastAsia="SimSun" w:hAnsi="SimSun" w:cs="SimSun" w:hint="eastAsia"/>
          <w:color w:val="BFBFBF" w:themeColor="background1" w:themeShade="BF"/>
        </w:rPr>
        <w:t>原则</w:t>
      </w:r>
      <w:r w:rsidRPr="009C12F6">
        <w:rPr>
          <w:rFonts w:ascii="SimSun" w:eastAsia="SimSun" w:hAnsi="SimSun" w:cs="SimSun"/>
          <w:color w:val="BFBFBF" w:themeColor="background1" w:themeShade="BF"/>
        </w:rPr>
        <w:t>—</w:t>
      </w:r>
      <w:r w:rsidRPr="009C12F6">
        <w:rPr>
          <w:rFonts w:ascii="SimSun" w:eastAsia="SimSun" w:hAnsi="SimSun" w:cs="SimSun" w:hint="eastAsia"/>
          <w:color w:val="BFBFBF" w:themeColor="background1" w:themeShade="BF"/>
        </w:rPr>
        <w:t>子标准</w:t>
      </w:r>
      <w:r w:rsidRPr="009C12F6">
        <w:rPr>
          <w:rFonts w:ascii="SimSun" w:eastAsia="SimSun" w:hAnsi="SimSun" w:cs="SimSun"/>
          <w:color w:val="BFBFBF" w:themeColor="background1" w:themeShade="BF"/>
        </w:rPr>
        <w:t>—</w:t>
      </w:r>
      <w:r w:rsidRPr="009C12F6">
        <w:rPr>
          <w:rFonts w:ascii="SimSun" w:eastAsia="SimSun" w:hAnsi="SimSun" w:cs="SimSun" w:hint="eastAsia"/>
          <w:color w:val="BFBFBF" w:themeColor="background1" w:themeShade="BF"/>
        </w:rPr>
        <w:t>指标</w:t>
      </w:r>
      <w:r w:rsidRPr="009C12F6">
        <w:rPr>
          <w:rFonts w:ascii="SimSun" w:eastAsia="SimSun" w:hAnsi="SimSun" w:cs="SimSun"/>
          <w:color w:val="BFBFBF" w:themeColor="background1" w:themeShade="BF"/>
        </w:rPr>
        <w:t>—</w:t>
      </w:r>
      <w:r w:rsidRPr="009C12F6">
        <w:rPr>
          <w:rFonts w:ascii="SimSun" w:eastAsia="SimSun" w:hAnsi="SimSun" w:cs="SimSun" w:hint="eastAsia"/>
          <w:color w:val="BFBFBF" w:themeColor="background1" w:themeShade="BF"/>
        </w:rPr>
        <w:t>评价量表</w:t>
      </w:r>
      <w:r w:rsidRPr="009C12F6">
        <w:rPr>
          <w:rFonts w:ascii="SimSun" w:eastAsia="SimSun" w:hAnsi="SimSun" w:cs="SimSun"/>
          <w:color w:val="BFBFBF" w:themeColor="background1" w:themeShade="BF"/>
        </w:rPr>
        <w:t>”</w:t>
      </w:r>
      <w:r w:rsidRPr="009C12F6">
        <w:rPr>
          <w:rFonts w:ascii="SimSun" w:eastAsia="SimSun" w:hAnsi="SimSun" w:cs="SimSun" w:hint="eastAsia"/>
          <w:color w:val="BFBFBF" w:themeColor="background1" w:themeShade="BF"/>
        </w:rPr>
        <w:t>的层级路径，构建了数据驱动的骑行网络质量定量评价方法</w:t>
      </w:r>
      <w:r w:rsidRPr="009C12F6">
        <w:rPr>
          <w:rFonts w:ascii="SimSun" w:eastAsia="SimSun" w:hAnsi="SimSun" w:cs="SimSun"/>
          <w:color w:val="BFBFBF" w:themeColor="background1" w:themeShade="BF"/>
        </w:rPr>
        <w:t>[5]</w:t>
      </w:r>
      <w:r w:rsidRPr="009C12F6">
        <w:rPr>
          <w:rFonts w:ascii="SimSun" w:eastAsia="SimSun" w:hAnsi="SimSun" w:cs="SimSun" w:hint="eastAsia"/>
          <w:color w:val="BFBFBF" w:themeColor="background1" w:themeShade="BF"/>
        </w:rPr>
        <w:t>；</w:t>
      </w:r>
      <w:r w:rsidRPr="009C12F6">
        <w:rPr>
          <w:rFonts w:ascii="SimSun" w:eastAsia="SimSun" w:hAnsi="SimSun" w:cs="SimSun"/>
          <w:color w:val="BFBFBF" w:themeColor="background1" w:themeShade="BF"/>
        </w:rPr>
        <w:t xml:space="preserve">Ahmed </w:t>
      </w:r>
      <w:r w:rsidRPr="009C12F6">
        <w:rPr>
          <w:rFonts w:ascii="SimSun" w:eastAsia="SimSun" w:hAnsi="SimSun" w:cs="SimSun" w:hint="eastAsia"/>
          <w:color w:val="BFBFBF" w:themeColor="background1" w:themeShade="BF"/>
        </w:rPr>
        <w:t>等的系统综述则以这五项原则为基准，对既有城市骑行环境指数（</w:t>
      </w:r>
      <w:proofErr w:type="spellStart"/>
      <w:r w:rsidRPr="009C12F6">
        <w:rPr>
          <w:rFonts w:ascii="SimSun" w:eastAsia="SimSun" w:hAnsi="SimSun" w:cs="SimSun"/>
          <w:color w:val="BFBFBF" w:themeColor="background1" w:themeShade="BF"/>
        </w:rPr>
        <w:t>bikeability</w:t>
      </w:r>
      <w:proofErr w:type="spellEnd"/>
      <w:r w:rsidRPr="009C12F6">
        <w:rPr>
          <w:rFonts w:ascii="SimSun" w:eastAsia="SimSun" w:hAnsi="SimSun" w:cs="SimSun"/>
          <w:color w:val="BFBFBF" w:themeColor="background1" w:themeShade="BF"/>
        </w:rPr>
        <w:t xml:space="preserve"> index</w:t>
      </w:r>
      <w:r w:rsidRPr="009C12F6">
        <w:rPr>
          <w:rFonts w:ascii="SimSun" w:eastAsia="SimSun" w:hAnsi="SimSun" w:cs="SimSun" w:hint="eastAsia"/>
          <w:color w:val="BFBFBF" w:themeColor="background1" w:themeShade="BF"/>
        </w:rPr>
        <w:t>）的各类指标进行了归类与整合</w:t>
      </w:r>
      <w:r w:rsidRPr="009C12F6">
        <w:rPr>
          <w:rFonts w:ascii="SimSun" w:eastAsia="SimSun" w:hAnsi="SimSun" w:cs="SimSun"/>
          <w:color w:val="BFBFBF" w:themeColor="background1" w:themeShade="BF"/>
        </w:rPr>
        <w:t>[8]。</w:t>
      </w:r>
    </w:p>
    <w:p w14:paraId="7FBC59F3" w14:textId="14C063DF" w:rsidR="00945AB5" w:rsidRDefault="002C25DB">
      <w:pPr>
        <w:pStyle w:val="Heading1"/>
        <w:numPr>
          <w:ilvl w:val="0"/>
          <w:numId w:val="0"/>
        </w:numPr>
        <w:spacing w:after="65"/>
      </w:pPr>
      <w:r>
        <w:rPr>
          <w:rFonts w:hint="eastAsia"/>
        </w:rPr>
        <w:t xml:space="preserve">2  </w:t>
      </w:r>
      <w:r w:rsidR="00E25BEA">
        <w:rPr>
          <w:rFonts w:hint="eastAsia"/>
        </w:rPr>
        <w:t>骑行环境质量的概念与构成</w:t>
      </w:r>
    </w:p>
    <w:p w14:paraId="066A77B6" w14:textId="69478D14" w:rsidR="00E25BEA" w:rsidRDefault="00E25BEA" w:rsidP="00E25BEA">
      <w:pPr>
        <w:pStyle w:val="Heading2"/>
        <w:numPr>
          <w:ilvl w:val="0"/>
          <w:numId w:val="0"/>
        </w:numPr>
        <w:spacing w:after="65"/>
      </w:pPr>
      <w:r>
        <w:rPr>
          <w:rFonts w:hint="eastAsia"/>
        </w:rPr>
        <w:t xml:space="preserve">2.1 </w:t>
      </w:r>
      <w:r>
        <w:rPr>
          <w:rFonts w:hint="eastAsia"/>
        </w:rPr>
        <w:t>从“可步行性”到“骑行环境质量”</w:t>
      </w:r>
    </w:p>
    <w:p w14:paraId="1FA11CFA" w14:textId="157A9F35" w:rsidR="00640DE9" w:rsidRPr="00E34400" w:rsidRDefault="00640DE9" w:rsidP="00E34400">
      <w:pPr>
        <w:spacing w:after="163"/>
        <w:ind w:firstLine="420"/>
        <w:rPr>
          <w:lang w:val="en-GB"/>
        </w:rPr>
      </w:pPr>
      <w:r w:rsidRPr="00640DE9">
        <w:rPr>
          <w:rFonts w:hint="eastAsia"/>
        </w:rPr>
        <w:t>骑行环境质量（</w:t>
      </w:r>
      <w:r w:rsidRPr="00640DE9">
        <w:t>Bikeability</w:t>
      </w:r>
      <w:r>
        <w:rPr>
          <w:rFonts w:hint="eastAsia"/>
        </w:rPr>
        <w:t>或</w:t>
      </w:r>
      <w:r>
        <w:rPr>
          <w:lang w:val="en-GB"/>
        </w:rPr>
        <w:t>Cyclability</w:t>
      </w:r>
      <w:r w:rsidRPr="00640DE9">
        <w:rPr>
          <w:rFonts w:hint="eastAsia"/>
        </w:rPr>
        <w:t>）的概念最初借鉴自慢行交通研究中的</w:t>
      </w:r>
      <w:r w:rsidRPr="00640DE9">
        <w:t>“</w:t>
      </w:r>
      <w:r w:rsidRPr="00640DE9">
        <w:rPr>
          <w:rFonts w:hint="eastAsia"/>
        </w:rPr>
        <w:t>可步行性</w:t>
      </w:r>
      <w:r w:rsidRPr="00640DE9">
        <w:t>”</w:t>
      </w:r>
      <w:r w:rsidRPr="00640DE9">
        <w:rPr>
          <w:rFonts w:hint="eastAsia"/>
        </w:rPr>
        <w:t>（</w:t>
      </w:r>
      <w:r w:rsidRPr="00640DE9">
        <w:t>Walkability</w:t>
      </w:r>
      <w:r w:rsidRPr="00640DE9">
        <w:rPr>
          <w:rFonts w:hint="eastAsia"/>
        </w:rPr>
        <w:t>）</w:t>
      </w:r>
      <w:r w:rsidR="00CB1C97">
        <w:fldChar w:fldCharType="begin"/>
      </w:r>
      <w:r w:rsidR="00CB1C97">
        <w:instrText xml:space="preserve"> ADDIN ZOTERO_ITEM CSL_CITATION {"citationID":"RArhYCGY","properties":{"unsorted":false,"formattedCitation":"(Rossetti, 2024)","plainCitation":"(Rossetti, 2024)","noteIndex":0},"citationItems":[{"id":1675,"uris":["http://zotero.org/users/18218563/items/K9DNZ4UT"],"itemData":{"id":1675,"type":"article-journal","abstract":"Improving active mobility in settlements is one of the EU's core objectives to improve people's quality of life. EU guidelines indicate Sustainable Urban Mobility Plans (SUMPs) as strategic planning tools to achieve sustainable results through the definition of objectives and the provision of actions. Scientific research has extensively explored numerous factors in the built environment and active mobility infrastructures that influence mobility features and demands. However, a gap exists between research and urban plans employed to promote sustainable mobility. This paper examines whether these identified factors from scientific literature have implications for enhancing active mobility actions in Sustainable Urban Mobility Plans. First, a literature review highlights recurring factors in assessing active mobility networks. Then, an overview of actions supporting walkability and cyclability within Sustainable Urban Mobility Plans applied in the Emilia-Romagna Region in Italy is conducted. The two reviews comparison points out the expected implementation gap between research and practice.","citation-key":"rossetti2024","container-title":"European Transport/Trasporti Europei","DOI":"10.48295/ET.2024.97.9","ISSN":"1825-3997","issue":"97","language":"en","page":"1-11","source":"DOI.org (Crossref)","title":"How do SUMPs Consider Factors Influencing Walkability and Cyclability? A Review of Literature and Planning Tools","title-short":"How do SUMPs Consider Factors Influencing Walkability and Cyclability?","author":[{"family":"Rossetti","given":"Silvia"}],"issued":{"date-parts":[["2024",5]]}}}],"schema":"https://github.com/citation-style-language/schema/raw/master/csl-citation.json"} </w:instrText>
      </w:r>
      <w:r w:rsidR="00CB1C97">
        <w:fldChar w:fldCharType="separate"/>
      </w:r>
      <w:r w:rsidR="00CB1C97">
        <w:rPr>
          <w:noProof/>
        </w:rPr>
        <w:t>(Rossetti, 2024)</w:t>
      </w:r>
      <w:r w:rsidR="00CB1C97">
        <w:fldChar w:fldCharType="end"/>
      </w:r>
      <w:r w:rsidRPr="00640DE9">
        <w:rPr>
          <w:rFonts w:hint="eastAsia"/>
        </w:rPr>
        <w:t>。</w:t>
      </w:r>
      <w:r w:rsidR="00E34400">
        <w:rPr>
          <w:rFonts w:hint="eastAsia"/>
        </w:rPr>
        <w:t>可步行性研究较早建立了利用建成环境（如密度、土地利用混合度与路网联通度等维度）解释慢出行行为的理论分析框架；早期的骑行研究也多直接沿用这些指标</w:t>
      </w:r>
      <w:r w:rsidR="00F30417">
        <w:fldChar w:fldCharType="begin"/>
      </w:r>
      <w:r w:rsidR="00F30417">
        <w:instrText xml:space="preserve"> ADDIN ZOTERO_ITEM CSL_CITATION {"citationID":"ytDEwSQh","properties":{"unsorted":false,"formattedCitation":"(Saelens, Sallis and Frank, 2003)","plainCitation":"(Saelens, Sallis and Frank, 2003)","noteIndex":0},"citationItems":[{"id":1680,"uris":["http://zotero.org/users/18218563/items/5SJXX3JW"],"itemData":{"id":1680,"type":"article-journal","abstract":"Research in transportation, urban design, and planning has examined associations between physical environment variables and individuals' walking and cycling for transport. Constructs, methods, and findings from these fields can be applied by physical activity and health researchers to improve understanding of environmental influences on physical activity. In this review, neighborhood environment characteristics proposed to be relevant to walking/cycling for transport are defined, including population density, connectivity, and land use mix. Neighborhood comparison and correlational studies with nonmotorized transport outcomes are considered, with evidence suggesting that residents from communities with higher density, greater connectivity, and more land use mix report higher rates of walking/cycling for utilitarian purposes than low-density, poorly connected, and single land use neighborhoods. Environmental variables appear to add to variance accounted for beyond sociodemographic predictors of walking/cycling for transport. Implications of the transportation literature for physical activity and related research are outlined. Future research directions are detailed for physical activity research to further examine the impact of neighborhood and other physical environment factors on physical activity and the potential interactive effects of psychosocial and environmental variables. The transportation, urban design, and planning literatures provide a valuable starting point for multidisciplinary research on environmental contributions to physical activity levels in the population.","citation-key":"saelens2003a","container-title":"Annals of Behavioral Medicine","DOI":"10.1207/S15324796ABM2502_03","ISSN":"0883-6612","issue":"2","journalAbbreviation":"Ann Behav Med","page":"80-91","source":"Silverchair","title":"Environmental correlates of walking and cycling: Findings from the transportation, urban design, and planning literatures","title-short":"Environmental correlates of walking and cycling","volume":"25","author":[{"family":"Saelens","given":"Brian E."},{"family":"Sallis","given":"James F."},{"family":"Frank","given":"Lawrence D."}],"issued":{"date-parts":[["2003",4,1]]}}}],"schema":"https://github.com/citation-style-language/schema/raw/master/csl-citation.json"} </w:instrText>
      </w:r>
      <w:r w:rsidR="00F30417">
        <w:fldChar w:fldCharType="separate"/>
      </w:r>
      <w:r w:rsidR="00F30417">
        <w:rPr>
          <w:noProof/>
        </w:rPr>
        <w:t>(Saelens, Sallis and Frank, 2003)</w:t>
      </w:r>
      <w:r w:rsidR="00F30417">
        <w:fldChar w:fldCharType="end"/>
      </w:r>
      <w:r w:rsidR="00E34400">
        <w:rPr>
          <w:rFonts w:hint="eastAsia"/>
        </w:rPr>
        <w:t>。</w:t>
      </w:r>
      <w:r w:rsidRPr="00640DE9">
        <w:rPr>
          <w:rFonts w:hint="eastAsia"/>
        </w:rPr>
        <w:t>然而，骑行与步行在出行机制上存在显著差异，导致传统的可步行性指标难以直接运用于骑行环境的准确评价。首先在空间尺度上，骑行的服务半径与行程距离通常为步行的数倍，要求评价单元由微观街区尺度延伸至中观乃至宏观的城市路网；其次在移动动力学与体能消耗上，骑行者对地形坡度、路面平整度以及由信号灯引起的行程中断与节点延误更为敏感</w:t>
      </w:r>
      <w:r w:rsidRPr="00640DE9">
        <w:t>[3]</w:t>
      </w:r>
      <w:r w:rsidRPr="00640DE9">
        <w:rPr>
          <w:rFonts w:hint="eastAsia"/>
        </w:rPr>
        <w:t>；再者在安全风险结构上，骑行者常面临与机动车混行的空间博弈，速度差与冲突面积显著高于步行，使得机非隔离形态、机动车车速及交通流量成为决定骑行安全的关键变量；最后在网络连续性需求上，骑行交通具有强烈的网络依赖性，单一路段或关键交叉口的设施断点即可能导致整条骑行路径的可达性丧失</w:t>
      </w:r>
      <w:r w:rsidRPr="00640DE9">
        <w:t>。</w:t>
      </w:r>
    </w:p>
    <w:p w14:paraId="02E16609" w14:textId="227A217D" w:rsidR="00640DE9" w:rsidRPr="00640DE9" w:rsidRDefault="00640DE9" w:rsidP="00E34400">
      <w:pPr>
        <w:spacing w:after="163"/>
        <w:ind w:firstLine="420"/>
      </w:pPr>
      <w:r w:rsidRPr="00640DE9">
        <w:rPr>
          <w:rFonts w:hint="eastAsia"/>
        </w:rPr>
        <w:t>因此，骑行环境评价亟需建立一套独立的维度体系。前文所述的荷兰</w:t>
      </w:r>
      <w:r w:rsidRPr="00640DE9">
        <w:t xml:space="preserve"> CROW </w:t>
      </w:r>
      <w:r w:rsidRPr="00640DE9">
        <w:rPr>
          <w:rFonts w:hint="eastAsia"/>
        </w:rPr>
        <w:t>五项品质正是针对上述差异提出的系统化响应，因而成为构建骑行环境评价体系的核心参照基石。在既有学术研究中，骑行环境质量通常被定义为建成环境支持、吸引并保障骑行活动的综合能力与适宜程度</w:t>
      </w:r>
      <w:r w:rsidRPr="00640DE9">
        <w:t>[6-7]</w:t>
      </w:r>
      <w:r w:rsidRPr="00640DE9">
        <w:rPr>
          <w:rFonts w:hint="eastAsia"/>
        </w:rPr>
        <w:t>。</w:t>
      </w:r>
      <w:r w:rsidRPr="00640DE9">
        <w:t xml:space="preserve">CROW </w:t>
      </w:r>
      <w:r w:rsidRPr="00640DE9">
        <w:rPr>
          <w:rFonts w:hint="eastAsia"/>
        </w:rPr>
        <w:t>框架在工程实践中承担着设定建设目标与评估实施成效的功能，而骑行环境质量研究则进一步将这些设计原则操作化为可基于空间数据进行精准测度的定量指标，从而实现了从</w:t>
      </w:r>
      <w:r w:rsidRPr="00640DE9">
        <w:t>“</w:t>
      </w:r>
      <w:r w:rsidRPr="00640DE9">
        <w:rPr>
          <w:rFonts w:hint="eastAsia"/>
        </w:rPr>
        <w:t>宏观设计原则</w:t>
      </w:r>
      <w:r w:rsidRPr="00640DE9">
        <w:t>”</w:t>
      </w:r>
      <w:r w:rsidRPr="00640DE9">
        <w:rPr>
          <w:rFonts w:hint="eastAsia"/>
        </w:rPr>
        <w:t>向</w:t>
      </w:r>
      <w:r w:rsidRPr="00640DE9">
        <w:t>“</w:t>
      </w:r>
      <w:r w:rsidRPr="00640DE9">
        <w:rPr>
          <w:rFonts w:hint="eastAsia"/>
        </w:rPr>
        <w:t>微观</w:t>
      </w:r>
      <w:r w:rsidRPr="00640DE9">
        <w:t>/</w:t>
      </w:r>
      <w:r w:rsidRPr="00640DE9">
        <w:rPr>
          <w:rFonts w:hint="eastAsia"/>
        </w:rPr>
        <w:t>中观路网空间质量评估</w:t>
      </w:r>
      <w:r w:rsidRPr="00640DE9">
        <w:t>”</w:t>
      </w:r>
      <w:r w:rsidRPr="00640DE9">
        <w:rPr>
          <w:rFonts w:hint="eastAsia"/>
        </w:rPr>
        <w:t>的范式转换</w:t>
      </w:r>
      <w:r w:rsidRPr="00640DE9">
        <w:t>。</w:t>
      </w:r>
    </w:p>
    <w:p w14:paraId="676B168A" w14:textId="59ED15D0" w:rsidR="00E25BEA" w:rsidRDefault="00E25BEA" w:rsidP="00E25BEA">
      <w:pPr>
        <w:pStyle w:val="Heading2"/>
        <w:numPr>
          <w:ilvl w:val="0"/>
          <w:numId w:val="0"/>
        </w:numPr>
        <w:spacing w:after="65"/>
      </w:pPr>
      <w:r>
        <w:rPr>
          <w:rFonts w:hint="eastAsia"/>
        </w:rPr>
        <w:t>2.</w:t>
      </w:r>
      <w:r>
        <w:t xml:space="preserve">2 </w:t>
      </w:r>
      <w:r>
        <w:rPr>
          <w:rFonts w:hint="eastAsia"/>
        </w:rPr>
        <w:t>骑行环境质量的构成维度</w:t>
      </w:r>
    </w:p>
    <w:p w14:paraId="61552DAD" w14:textId="77777777" w:rsidR="00A95090" w:rsidRPr="00A95090" w:rsidRDefault="00A95090" w:rsidP="00A95090">
      <w:pPr>
        <w:spacing w:after="163"/>
        <w:ind w:firstLine="420"/>
        <w:rPr>
          <w:rFonts w:hint="eastAsia"/>
        </w:rPr>
      </w:pPr>
    </w:p>
    <w:p w14:paraId="551665B4" w14:textId="01C2681F" w:rsidR="00E25BEA" w:rsidRPr="00E25BEA" w:rsidRDefault="00E25BEA" w:rsidP="00E25BEA">
      <w:pPr>
        <w:pStyle w:val="Heading2"/>
        <w:numPr>
          <w:ilvl w:val="0"/>
          <w:numId w:val="0"/>
        </w:numPr>
        <w:spacing w:after="65"/>
        <w:rPr>
          <w:rFonts w:hint="eastAsia"/>
        </w:rPr>
      </w:pPr>
      <w:r>
        <w:rPr>
          <w:rFonts w:hint="eastAsia"/>
        </w:rPr>
        <w:t xml:space="preserve">2.3 </w:t>
      </w:r>
      <w:r>
        <w:rPr>
          <w:rFonts w:hint="eastAsia"/>
        </w:rPr>
        <w:t>骑行环境质量在规划中的用途</w:t>
      </w:r>
    </w:p>
    <w:p w14:paraId="4B9957AD" w14:textId="2D94F3C4" w:rsidR="00E25BEA" w:rsidRPr="00B47E75" w:rsidRDefault="00A05D74" w:rsidP="00B47E75">
      <w:pPr>
        <w:spacing w:after="163"/>
        <w:ind w:firstLine="420"/>
      </w:pPr>
      <w:r>
        <w:t>骑行环境质量评价不仅是空间诊断的理论工具，更是连接评估模型与规划决策的重要桥梁。在城市与慢行交通规划实践中，</w:t>
      </w:r>
      <w:r>
        <w:rPr>
          <w:rFonts w:hint="eastAsia"/>
        </w:rPr>
        <w:t>骑行环境质量</w:t>
      </w:r>
      <w:r>
        <w:t>评价具有多维度的应用价值：在现状诊断层面，通过在路段、网格或交通小区尺度开展测度，能够对既有骑行网络进行系统的</w:t>
      </w:r>
      <w:r>
        <w:t>“</w:t>
      </w:r>
      <w:r>
        <w:t>空间审计</w:t>
      </w:r>
      <w:r>
        <w:t>”</w:t>
      </w:r>
      <w:r>
        <w:t>，精准识别网络断点、低品质瓶颈路段以及高风险交汇节点，为慢行系统的精细化改造与精准干预提供空间依据</w:t>
      </w:r>
      <w:r w:rsidR="00B47E75">
        <w:rPr>
          <w:rFonts w:hint="eastAsia"/>
        </w:rPr>
        <w:t xml:space="preserve"> </w:t>
      </w:r>
      <w:r>
        <w:t>；在决策支持层面，在公共财政预算受限的约束下，骑行环境质量指数可用于评估不同干预方案（如增设机非物理隔离、优化交叉口渠化、降低机动车限速）对网络综合品质的边际提升幅度，为规划</w:t>
      </w:r>
      <w:r>
        <w:lastRenderedPageBreak/>
        <w:t>部门制定设施建设与资金投放的优先级顺序提供定量比选依据</w:t>
      </w:r>
      <w:r w:rsidR="008D3A64" w:rsidRPr="00B47E75">
        <w:rPr>
          <w:rFonts w:hint="eastAsia"/>
        </w:rPr>
        <w:t xml:space="preserve"> </w:t>
      </w:r>
      <w:r w:rsidR="008D3A64" w:rsidRPr="00B47E75">
        <w:fldChar w:fldCharType="begin"/>
      </w:r>
      <w:r w:rsidR="008D3A64" w:rsidRPr="00B47E75">
        <w:instrText xml:space="preserve"> ADDIN ZOTERO_ITEM CSL_CITATION {"citationID":"zX6iPKC1","properties":{"unsorted":false,"formattedCitation":"(Arellana {\\i{}et al.}, 2020)","plainCitation":"(Arellana et al., 2020)","noteIndex":0},"citationItems":[{"id":1665,"uris":["http://zotero.org/users/18218563/items/XKMXGKKV"],"itemData":{"id":1665,"type":"article-journal","abstract":"This study proposes an urban Bikeability Index (BI) to assess and prioritise bicycle infrastructure investments, and in turn, improve accessibility for cyclists. The contribution of this paper is twofold. First, we construct a BI that addresses particularities of the roads in cities of the Global South and considers the preferences, perceptions and socioeconomic characteristics by type of cyclist. Second, a tool is developed for decision-makers to prioritise investments in bicycle infrastructure, considering the estimated BI and expected cyclist flows. The methodology is structured into two stages. The first stage constructs a new BI following three steps. First, we select the most important factors and components related to biking behaviour. Second, we estimate weights for selected factors and components by using a discrete choice model to analyse users’ perceptions based on results from ranking surveys. Third, we estimate the BI by type of cyclist as a weighted additive function, which are equivalent to the probabilities calculated using the discrete choice model. The second stage proposes a direct demand model to prioritise bicycle infrastructure investments based on the estimation of BIs, and expected flows of cyclists. We applied the methodology to Barranquilla, Colombia and ranked different bicycle infrastructure investments for increasing bicycle demand in the city. The results suggest that even though primary roads are currently associated with low BI values due to high rates of road accidents, they tend to be preferred by cyclists. The presence of adequate bicycle infrastructure is the most crucial factor for people who frequently cycle for sport, while traffic safety and security are the most critical factors for those who cycle to work.","citation-key":"arellana2020","container-title":"Transportation Research Part A: Policy and Practice","DOI":"10.1016/j.tra.2020.07.010","ISSN":"0965-8564","journalAbbreviation":"Transportation Research Part A: Policy and Practice","page":"310-334","source":"ScienceDirect","title":"Developing an urban bikeability index for different types of cyclists as a tool to prioritise bicycle infrastructure investments","volume":"139","author":[{"family":"Arellana","given":"Julián"},{"family":"Saltarín","given":"María"},{"family":"Larrañaga","given":"Ana Margarita"},{"family":"González","given":"Virginia I."},{"family":"Henao","given":"César Augusto"}],"issued":{"date-parts":[["2020",9,1]]}}}],"schema":"https://github.com/citation-style-language/schema/raw/master/csl-citation.json"} </w:instrText>
      </w:r>
      <w:r w:rsidR="008D3A64" w:rsidRPr="00B47E75">
        <w:fldChar w:fldCharType="separate"/>
      </w:r>
      <w:r w:rsidR="008D3A64" w:rsidRPr="00B47E75">
        <w:t>(</w:t>
      </w:r>
      <w:proofErr w:type="spellStart"/>
      <w:r w:rsidR="008D3A64" w:rsidRPr="00B47E75">
        <w:t>Arellana</w:t>
      </w:r>
      <w:proofErr w:type="spellEnd"/>
      <w:r w:rsidR="008D3A64" w:rsidRPr="00B47E75">
        <w:t xml:space="preserve"> et al., 2020)</w:t>
      </w:r>
      <w:r w:rsidR="008D3A64" w:rsidRPr="00B47E75">
        <w:fldChar w:fldCharType="end"/>
      </w:r>
      <w:r>
        <w:t>；在治理绩效层面，将</w:t>
      </w:r>
      <w:r>
        <w:rPr>
          <w:rFonts w:hint="eastAsia"/>
        </w:rPr>
        <w:t>骑行环境质量</w:t>
      </w:r>
      <w:r>
        <w:t>的空间分布特征与人口人口学及社会经济属性叠加，能够评估骑行基础设施在不同地理区域与社会群体间的分配公平性</w:t>
      </w:r>
      <w:r w:rsidR="00B47E75">
        <w:rPr>
          <w:rFonts w:hint="eastAsia"/>
        </w:rPr>
        <w:t xml:space="preserve"> </w:t>
      </w:r>
      <w:r w:rsidR="00B47E75">
        <w:fldChar w:fldCharType="begin"/>
      </w:r>
      <w:r w:rsidR="00B47E75">
        <w:instrText xml:space="preserve"> ADDIN ZOTERO_ITEM CSL_CITATION {"citationID":"m8xf6X3z","properties":{"unsorted":false,"formattedCitation":"(Braun, Rodriguez and Gordon-Larsen, 2019)","plainCitation":"(Braun, Rodriguez and Gordon-Larsen, 2019)","noteIndex":0},"citationItems":[{"id":1667,"uris":["http://zotero.org/users/18218563/items/46YHHJ4Q"],"itemData":{"id":1667,"type":"article-journal","abstract":"Cycling advocates have recently argued that low-income and minority communities across the U.S. have disproportionately low access to bike lanes. To date, however, quantitative evidence of disparities in access to bike lanes has been limited to a small number of cities. We addressed this research gap by examining cross-sectional associations between bike lanes and sociodemographic characteristics at the block group level for 22 large U.S. cities (n = 21,843 block groups). Dependent variables included the presence (yes/no), coverage, connectivity, and proximity of bike lanes, measured using secondary GIS data collected by each of the 22 cities between 2012 and 2016. Primary independent variables included indicators of race, ethnicity, educational attainment, income, poverty, and a composite socioeconomic status (SES) index, all measured using data from the 2011–2015 American Community Survey. We used linear and logistic multilevel mixed-effects regression models to estimate associations between these sociodemographic characteristics and each bike lane dependent variable, before and after adjusting for traditional indicators of cycling demand (population and employment density, distance to downtown, population age structure, bicycle commuting levels). In unadjusted associations, disadvantaged block groups (i.e. lower SES, higher proportions of minority residents) had significantly lower access to bike lanes. After adjusting for indicators of cycling demand, access to bike lanes was lower in block groups with particular types of disadvantage (lower educational attainment, higher proportions of Hispanic residents, lower composite SES) but not in those with other types of disadvantage (higher proportions of black residents, lower income, higher poverty). These results provide empirical support for advocates' claims of disparities in bike lane access, suggesting the importance of more closely considering social equity in bicycle planning and advocacy.","citation-key":"braun2019","container-title":"Journal of Transport Geography","DOI":"10.1016/j.jtrangeo.2019.102544","ISSN":"0966-6923","journalAbbreviation":"Journal of Transport Geography","page":"102544","source":"ScienceDirect","title":"Social (in)equity in access to cycling infrastructure: Cross-sectional associations between bike lanes and area-level sociodemographic characteristics in 22 large U.S. cities","title-short":"Social (in)equity in access to cycling infrastructure","volume":"80","author":[{"family":"Braun","given":"Lindsay M."},{"family":"Rodriguez","given":"Daniel A."},{"family":"Gordon-Larsen","given":"Penny"}],"issued":{"date-parts":[["2019",10,1]]}}}],"schema":"https://github.com/citation-style-language/schema/raw/master/csl-citation.json"} </w:instrText>
      </w:r>
      <w:r w:rsidR="00B47E75">
        <w:fldChar w:fldCharType="separate"/>
      </w:r>
      <w:r w:rsidR="00B47E75">
        <w:t>(Braun, Rodriguez and Gordon-Larsen, 2019)</w:t>
      </w:r>
      <w:r w:rsidR="00B47E75">
        <w:fldChar w:fldCharType="end"/>
      </w:r>
      <w:r>
        <w:t>，并通过在设施建成后实施定期重复评价与流量追踪，验证公共投资是否有效改善了骑行环境与出行意愿；此外，在跨语境比较层面，基于统一维度构建的评估框架为不同数据条件下的城市间对比提供了可行路径，即便各城市空间数据粒度存在差异，只要具体指标能够逻辑映射至相同的核心品质维度，即可在维度层面开展系统性的短板诊断与优势对比，进而为跨城市间的政策借鉴与经验迁移提供科学依据</w:t>
      </w:r>
      <w:r w:rsidR="0086307E" w:rsidRPr="00B47E75">
        <w:t xml:space="preserve"> </w:t>
      </w:r>
      <w:r w:rsidR="0086307E">
        <w:fldChar w:fldCharType="begin"/>
      </w:r>
      <w:r w:rsidR="0086307E">
        <w:instrText xml:space="preserve"> ADDIN ZOTERO_ITEM CSL_CITATION {"citationID":"Aed6vFzu","properties":{"unsorted":false,"formattedCitation":"(Kellstedt {\\i{}et al.}, 2021)","plainCitation":"(Kellstedt et al., 2021)","noteIndex":0},"citationItems":[{"id":1663,"uris":["http://zotero.org/users/18218563/items/STR49GG7"],"itemData":{"id":1663,"type":"article-journal","abstract":"Bicycling holds promise as a healthy and sustainable means of transportation and physical activity. Despite the growing interest in community-based environmental approaches to promoting physical activity, bikeability has received relatively little attention. This paper provides a scoping review of the instruments developed to measure bikeability along with practice-based analyses of the tools related to user expertise, estimated cost, and required time to implement. The review summarizes the literature, identifies research gaps, and informs stakeholders with articles from EBSCO and transportation databases published after 2003 when the previous bikeability instrument review paper was published. Data extraction included the tool name, data collection method, study location, data collection scale, type of measure, and description. Two reviewers independently reviewed articles included in the full text review, and the inter-rater agreement exceeded 90%. The database search yielded 388 unique articles, and 17 met the inclusion/exclusion criteria. Most of the studies, 11 of 17, were applied to settings outside of the U.S. Five studies employed a self-report survey, and five studies examined bikeability using geospatial data, like GIS. Seven studies used a direct observation audit tool—one specifically using a mobile app and another using virtual observation techniques with Google Street View. Bikeability tools are useful for assessing communities and their supports for bicycling. Our primary finding is that advances in technology over the past two decades have driven innovative and useful methodologies, in a variety of disciplines, for assessing the environment, but more consensus is needed to provide a universal definition of bikeability.","citation-key":"kellstedt2021","container-title":"Journal of Community Health","DOI":"10.1007/s10900-020-00846-4","ISSN":"1573-3610","issue":"1","journalAbbreviation":"J Community Health","language":"en","page":"211-224","source":"Springer Link","title":"A Scoping Review of Bikeability Assessment Methods","volume":"46","author":[{"family":"Kellstedt","given":"Debra K."},{"family":"Spengler","given":"John O."},{"family":"Foster","given":"Margaret"},{"family":"Lee","given":"Chanam"},{"family":"Maddock","given":"Jay E."}],"issued":{"date-parts":[["2021",2,1]]}}}],"schema":"https://github.com/citation-style-language/schema/raw/master/csl-citation.json"} </w:instrText>
      </w:r>
      <w:r w:rsidR="0086307E">
        <w:fldChar w:fldCharType="separate"/>
      </w:r>
      <w:r w:rsidR="0086307E" w:rsidRPr="00B47E75">
        <w:t>(</w:t>
      </w:r>
      <w:proofErr w:type="spellStart"/>
      <w:r w:rsidR="0086307E" w:rsidRPr="00B47E75">
        <w:t>Kellstedt</w:t>
      </w:r>
      <w:proofErr w:type="spellEnd"/>
      <w:r w:rsidR="0086307E" w:rsidRPr="00B47E75">
        <w:t xml:space="preserve"> et al., 2021)</w:t>
      </w:r>
      <w:r w:rsidR="0086307E">
        <w:fldChar w:fldCharType="end"/>
      </w:r>
      <w:r w:rsidRPr="00B47E75">
        <w:rPr>
          <w:rFonts w:hint="eastAsia"/>
        </w:rPr>
        <w:t>。</w:t>
      </w:r>
    </w:p>
    <w:p w14:paraId="6BF33E70" w14:textId="77777777" w:rsidR="00B47E75" w:rsidRDefault="00B47E75" w:rsidP="00B47E75">
      <w:pPr>
        <w:spacing w:after="163"/>
        <w:ind w:firstLineChars="0" w:firstLine="0"/>
      </w:pPr>
    </w:p>
    <w:p w14:paraId="77D18540" w14:textId="77777777" w:rsidR="00B47E75" w:rsidRPr="00E25BEA" w:rsidRDefault="00B47E75" w:rsidP="00B47E75">
      <w:pPr>
        <w:spacing w:after="163"/>
        <w:ind w:firstLineChars="0" w:firstLine="0"/>
        <w:rPr>
          <w:rFonts w:hint="eastAsia"/>
        </w:rPr>
      </w:pPr>
    </w:p>
    <w:p w14:paraId="5702915E" w14:textId="77777777" w:rsidR="00945AB5" w:rsidRDefault="002C25DB">
      <w:pPr>
        <w:pStyle w:val="Heading1"/>
        <w:numPr>
          <w:ilvl w:val="0"/>
          <w:numId w:val="0"/>
        </w:numPr>
        <w:spacing w:after="65"/>
      </w:pPr>
      <w:r>
        <w:rPr>
          <w:rFonts w:hint="eastAsia"/>
        </w:rPr>
        <w:t xml:space="preserve">3  </w:t>
      </w:r>
      <w:r>
        <w:rPr>
          <w:rFonts w:hint="eastAsia"/>
        </w:rPr>
        <w:t>数据与分析设计</w:t>
      </w:r>
    </w:p>
    <w:p w14:paraId="188FA084" w14:textId="77777777" w:rsidR="00945AB5" w:rsidRDefault="002C25DB">
      <w:pPr>
        <w:spacing w:after="163"/>
        <w:ind w:firstLine="420"/>
      </w:pPr>
      <w:r>
        <w:rPr>
          <w:rFonts w:hint="eastAsia"/>
        </w:rPr>
        <w:t>分析设计涵盖五个模块：整体空间描述模块以轨道站、骑行强度与自行车停车设施为核心变量，采用地图叠加、核密度／网格聚合等方法，形成对节点化与网络化空间格局的第一印象；节点关系模块以距站距离、骑行强度与停车密度为核心变量，采用距离梯度、</w:t>
      </w:r>
      <w:r>
        <w:rPr>
          <w:rFonts w:hint="eastAsia"/>
        </w:rPr>
        <w:t>Spearman</w:t>
      </w:r>
      <w:r>
        <w:rPr>
          <w:rFonts w:hint="eastAsia"/>
        </w:rPr>
        <w:t>／</w:t>
      </w:r>
      <w:r>
        <w:rPr>
          <w:rFonts w:hint="eastAsia"/>
        </w:rPr>
        <w:t>Pearson</w:t>
      </w:r>
      <w:r>
        <w:rPr>
          <w:rFonts w:hint="eastAsia"/>
        </w:rPr>
        <w:t>相关分析等方法，输出站点依赖度与设施节点化指标；网络关系模块以轨道可达性、骑行强度与连续性为核心变量，采用二维分类、连续街段统计等方法，输出接驳型／网络补缺型等类型地图；空间相关模块以骑行、停车与轨道可达性为核心变量，可采用</w:t>
      </w:r>
      <w:r>
        <w:rPr>
          <w:rFonts w:hint="eastAsia"/>
        </w:rPr>
        <w:t>Moran's I</w:t>
      </w:r>
      <w:r>
        <w:rPr>
          <w:rFonts w:hint="eastAsia"/>
        </w:rPr>
        <w:t>／双变量</w:t>
      </w:r>
      <w:r>
        <w:rPr>
          <w:rFonts w:hint="eastAsia"/>
        </w:rPr>
        <w:t>Moran's I</w:t>
      </w:r>
      <w:r>
        <w:rPr>
          <w:rFonts w:hint="eastAsia"/>
        </w:rPr>
        <w:t>等方法，为空间共聚或错位提供佐证；城市结构模块以中心性、轨道密度、绿视率与遮阴为核心变量，采用分组比较与简单</w:t>
      </w:r>
      <w:r>
        <w:rPr>
          <w:rFonts w:hint="eastAsia"/>
        </w:rPr>
        <w:t>OLS</w:t>
      </w:r>
      <w:r>
        <w:rPr>
          <w:rFonts w:hint="eastAsia"/>
        </w:rPr>
        <w:t>／空间回归等方法，揭示不同城市空间中的组织机制。</w:t>
      </w:r>
    </w:p>
    <w:p w14:paraId="590D9881" w14:textId="77777777" w:rsidR="00945AB5" w:rsidRDefault="002C25DB">
      <w:pPr>
        <w:spacing w:after="163"/>
        <w:ind w:firstLine="420"/>
      </w:pPr>
      <w:r>
        <w:rPr>
          <w:rFonts w:hint="eastAsia"/>
        </w:rPr>
        <w:t>比较原则上，两市尽量统一空间单元与指标定义，重点比较相对空间结构和梯度，而非绝对骑行总量。由于上海与大阪数据来源不同，结果表述应集中于“空间组织特征”，避免把平台样本直接解释为总体骑行规模。</w:t>
      </w:r>
    </w:p>
    <w:p w14:paraId="79A081AC" w14:textId="77777777" w:rsidR="00945AB5" w:rsidRDefault="002C25DB">
      <w:pPr>
        <w:pStyle w:val="Heading1"/>
        <w:numPr>
          <w:ilvl w:val="0"/>
          <w:numId w:val="0"/>
        </w:numPr>
        <w:spacing w:after="65"/>
      </w:pPr>
      <w:r>
        <w:rPr>
          <w:rFonts w:hint="eastAsia"/>
        </w:rPr>
        <w:t xml:space="preserve">4  </w:t>
      </w:r>
      <w:r>
        <w:rPr>
          <w:rFonts w:hint="eastAsia"/>
        </w:rPr>
        <w:t>大阪初步空间图及可检验趋势</w:t>
      </w:r>
    </w:p>
    <w:p w14:paraId="1D9BAA82" w14:textId="21F98010" w:rsidR="00945AB5" w:rsidRDefault="00945AB5">
      <w:pPr>
        <w:spacing w:after="163"/>
        <w:ind w:firstLineChars="0" w:firstLine="0"/>
        <w:jc w:val="center"/>
      </w:pPr>
    </w:p>
    <w:p w14:paraId="52DF2C35" w14:textId="77777777" w:rsidR="00945AB5" w:rsidRDefault="002C25DB">
      <w:pPr>
        <w:spacing w:after="163"/>
        <w:ind w:firstLineChars="0" w:firstLine="0"/>
        <w:jc w:val="center"/>
      </w:pPr>
      <w:r>
        <w:rPr>
          <w:noProof/>
        </w:rPr>
        <w:lastRenderedPageBreak/>
        <w:drawing>
          <wp:inline distT="0" distB="0" distL="0" distR="0" wp14:anchorId="6EB76C7E" wp14:editId="0DCA051A">
            <wp:extent cx="5759450" cy="7597683"/>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7"/>
                    <a:stretch/>
                  </pic:blipFill>
                  <pic:spPr>
                    <a:xfrm>
                      <a:off x="0" y="0"/>
                      <a:ext cx="5759450" cy="7597683"/>
                    </a:xfrm>
                    <a:prstGeom prst="rect">
                      <a:avLst/>
                    </a:prstGeom>
                  </pic:spPr>
                </pic:pic>
              </a:graphicData>
            </a:graphic>
          </wp:inline>
        </w:drawing>
      </w:r>
    </w:p>
    <w:p w14:paraId="56AFDDDF" w14:textId="77777777" w:rsidR="00945AB5" w:rsidRDefault="002C25DB">
      <w:pPr>
        <w:spacing w:after="163"/>
        <w:ind w:firstLineChars="0" w:firstLine="0"/>
        <w:jc w:val="left"/>
        <w:rPr>
          <w:shd w:val="clear" w:color="auto" w:fill="FFFF00"/>
        </w:rPr>
      </w:pPr>
      <w:r>
        <w:rPr>
          <w:rFonts w:hint="eastAsia"/>
        </w:rPr>
        <w:t>250 m</w:t>
      </w:r>
      <w:r>
        <w:rPr>
          <w:rFonts w:hint="eastAsia"/>
        </w:rPr>
        <w:t>网格下可以区分：</w:t>
      </w:r>
      <w:r>
        <w:rPr>
          <w:rFonts w:hint="eastAsia"/>
          <w:shd w:val="clear" w:color="auto" w:fill="FFFF00"/>
        </w:rPr>
        <w:t>（大阪—上海</w:t>
      </w:r>
      <w:r>
        <w:rPr>
          <w:rFonts w:hint="eastAsia"/>
          <w:shd w:val="clear" w:color="auto" w:fill="FFFF00"/>
        </w:rPr>
        <w:t xml:space="preserve"> </w:t>
      </w:r>
      <w:r>
        <w:rPr>
          <w:rFonts w:hint="eastAsia"/>
          <w:shd w:val="clear" w:color="auto" w:fill="FFFF00"/>
        </w:rPr>
        <w:t>自行车拥车率）</w:t>
      </w:r>
      <w:r>
        <w:rPr>
          <w:rFonts w:hint="eastAsia"/>
          <w:shd w:val="clear" w:color="auto" w:fill="FFFF00"/>
        </w:rPr>
        <w:t xml:space="preserve"> </w:t>
      </w:r>
      <w:r>
        <w:rPr>
          <w:rFonts w:hint="eastAsia"/>
          <w:shd w:val="clear" w:color="auto" w:fill="FFFF00"/>
        </w:rPr>
        <w:t>私有制</w:t>
      </w:r>
      <w:r>
        <w:rPr>
          <w:rFonts w:hint="eastAsia"/>
          <w:shd w:val="clear" w:color="auto" w:fill="FFFF00"/>
        </w:rPr>
        <w:t>-</w:t>
      </w:r>
      <w:r>
        <w:rPr>
          <w:rFonts w:hint="eastAsia"/>
          <w:shd w:val="clear" w:color="auto" w:fill="FFFF00"/>
        </w:rPr>
        <w:t>公有制</w:t>
      </w:r>
      <w:r>
        <w:rPr>
          <w:rFonts w:hint="eastAsia"/>
          <w:shd w:val="clear" w:color="auto" w:fill="FFFF00"/>
        </w:rPr>
        <w:t xml:space="preserve">  </w:t>
      </w:r>
      <w:r>
        <w:rPr>
          <w:rFonts w:hint="eastAsia"/>
          <w:shd w:val="clear" w:color="auto" w:fill="FFFF00"/>
        </w:rPr>
        <w:t>对上海启示</w:t>
      </w:r>
    </w:p>
    <w:p w14:paraId="33DF8E14" w14:textId="77777777" w:rsidR="00945AB5" w:rsidRDefault="002C25DB">
      <w:pPr>
        <w:spacing w:after="163"/>
        <w:ind w:firstLineChars="0" w:firstLine="0"/>
        <w:jc w:val="left"/>
        <w:rPr>
          <w:color w:val="000000"/>
        </w:rPr>
      </w:pPr>
      <w:r>
        <w:rPr>
          <w:rFonts w:ascii="Google Sans" w:eastAsia="Google Sans" w:hAnsi="Google Sans" w:cs="Google Sans" w:hint="eastAsia"/>
          <w:b/>
          <w:color w:val="000000"/>
          <w:sz w:val="24"/>
        </w:rPr>
        <w:t>汽车拥有率低：</w:t>
      </w:r>
      <w:r>
        <w:rPr>
          <w:rFonts w:ascii="Google Sans" w:eastAsia="Google Sans" w:hAnsi="Google Sans" w:cs="Google Sans" w:hint="eastAsia"/>
          <w:color w:val="000000"/>
          <w:sz w:val="24"/>
        </w:rPr>
        <w:t xml:space="preserve"> 与之相对，大阪的</w:t>
      </w:r>
      <w:r>
        <w:rPr>
          <w:rFonts w:ascii="Google Sans" w:eastAsia="Google Sans" w:hAnsi="Google Sans" w:cs="Google Sans" w:hint="eastAsia"/>
          <w:b/>
          <w:color w:val="000000"/>
          <w:sz w:val="24"/>
        </w:rPr>
        <w:t>汽车保有率极低</w:t>
      </w:r>
      <w:r>
        <w:rPr>
          <w:rFonts w:ascii="Google Sans" w:eastAsia="Google Sans" w:hAnsi="Google Sans" w:cs="Google Sans" w:hint="eastAsia"/>
          <w:color w:val="000000"/>
          <w:sz w:val="24"/>
        </w:rPr>
        <w:t>，在全日本47个都道府县中排名</w:t>
      </w:r>
      <w:r>
        <w:rPr>
          <w:rFonts w:ascii="Google Sans" w:eastAsia="Google Sans" w:hAnsi="Google Sans" w:cs="Google Sans" w:hint="eastAsia"/>
          <w:b/>
          <w:color w:val="000000"/>
          <w:sz w:val="24"/>
        </w:rPr>
        <w:t>倒数第2</w:t>
      </w:r>
      <w:r>
        <w:rPr>
          <w:rFonts w:ascii="Google Sans" w:eastAsia="Google Sans" w:hAnsi="Google Sans" w:cs="Google Sans" w:hint="eastAsia"/>
          <w:color w:val="000000"/>
          <w:sz w:val="24"/>
        </w:rPr>
        <w:t>（仅次于东京都），高昂的停车费和密集的公共交通让人们更倾向于选择“电车+自行车”的组合。</w:t>
      </w:r>
      <w:r>
        <w:rPr>
          <w:color w:val="000000"/>
        </w:rPr>
        <w:t xml:space="preserve"> [</w:t>
      </w:r>
      <w:hyperlink r:id="rId8" w:tgtFrame="dtf" w:history="1">
        <w:r>
          <w:rPr>
            <w:rStyle w:val="Hyperlink"/>
          </w:rPr>
          <w:t>1</w:t>
        </w:r>
      </w:hyperlink>
      <w:r>
        <w:rPr>
          <w:color w:val="000000"/>
        </w:rPr>
        <w:t xml:space="preserve">, </w:t>
      </w:r>
      <w:hyperlink r:id="rId9" w:tgtFrame="dtf" w:history="1">
        <w:r>
          <w:rPr>
            <w:rStyle w:val="Hyperlink"/>
          </w:rPr>
          <w:t>2</w:t>
        </w:r>
      </w:hyperlink>
      <w:r>
        <w:rPr>
          <w:color w:val="000000"/>
        </w:rPr>
        <w:t xml:space="preserve">, </w:t>
      </w:r>
      <w:hyperlink r:id="rId10" w:tgtFrame="dtf" w:history="1">
        <w:r>
          <w:rPr>
            <w:rStyle w:val="Hyperlink"/>
          </w:rPr>
          <w:t>3</w:t>
        </w:r>
      </w:hyperlink>
      <w:r>
        <w:rPr>
          <w:color w:val="000000"/>
        </w:rPr>
        <w:t>]</w:t>
      </w:r>
    </w:p>
    <w:p w14:paraId="225A557B" w14:textId="77777777" w:rsidR="00945AB5" w:rsidRDefault="002C25DB">
      <w:pPr>
        <w:pBdr>
          <w:bottom w:val="thick" w:sz="0" w:space="0" w:color="auto"/>
        </w:pBdr>
        <w:spacing w:after="163" w:line="240" w:lineRule="auto"/>
        <w:ind w:firstLine="489"/>
      </w:pPr>
      <w:r>
        <w:rPr>
          <w:rFonts w:ascii="Google Sans" w:eastAsia="Google Sans" w:hAnsi="Google Sans" w:cs="Google Sans" w:hint="eastAsia"/>
          <w:b/>
          <w:color w:val="000000"/>
          <w:sz w:val="24"/>
        </w:rPr>
        <w:lastRenderedPageBreak/>
        <w:t>每户家庭拥有量：</w:t>
      </w:r>
      <w:r>
        <w:rPr>
          <w:rFonts w:ascii="Google Sans" w:eastAsia="Google Sans" w:hAnsi="Google Sans" w:cs="Google Sans" w:hint="eastAsia"/>
          <w:color w:val="000000"/>
          <w:sz w:val="24"/>
        </w:rPr>
        <w:t xml:space="preserve"> 大阪府每户家庭平均拥有 </w:t>
      </w:r>
      <w:r>
        <w:rPr>
          <w:rFonts w:ascii="Google Sans" w:eastAsia="Google Sans" w:hAnsi="Google Sans" w:cs="Google Sans" w:hint="eastAsia"/>
          <w:b/>
          <w:color w:val="000000"/>
          <w:sz w:val="24"/>
        </w:rPr>
        <w:t>1.356台</w:t>
      </w:r>
      <w:r>
        <w:rPr>
          <w:rFonts w:ascii="Google Sans" w:eastAsia="Google Sans" w:hAnsi="Google Sans" w:cs="Google Sans" w:hint="eastAsia"/>
          <w:color w:val="000000"/>
          <w:sz w:val="24"/>
        </w:rPr>
        <w:t xml:space="preserve"> 自行车（2021年数据），</w:t>
      </w:r>
      <w:r>
        <w:rPr>
          <w:rFonts w:ascii="Google Sans" w:eastAsia="Google Sans" w:hAnsi="Google Sans" w:cs="Google Sans" w:hint="eastAsia"/>
          <w:b/>
          <w:color w:val="000000"/>
          <w:sz w:val="24"/>
        </w:rPr>
        <w:t>位列日本全国第1名</w:t>
      </w:r>
      <w:r>
        <w:rPr>
          <w:rFonts w:ascii="Google Sans" w:eastAsia="Google Sans" w:hAnsi="Google Sans" w:cs="Google Sans" w:hint="eastAsia"/>
          <w:color w:val="000000"/>
          <w:sz w:val="24"/>
        </w:rPr>
        <w:t>，紧随其后的是高知县和圣玉县。</w:t>
      </w:r>
    </w:p>
    <w:p w14:paraId="7E8E1CB5" w14:textId="77777777" w:rsidR="00945AB5" w:rsidRDefault="002C25DB">
      <w:pPr>
        <w:pBdr>
          <w:bottom w:val="thick" w:sz="0" w:space="0" w:color="auto"/>
        </w:pBdr>
        <w:spacing w:after="163" w:line="240" w:lineRule="auto"/>
        <w:ind w:firstLine="489"/>
      </w:pPr>
      <w:r>
        <w:rPr>
          <w:rFonts w:ascii="Google Sans" w:eastAsia="Google Sans" w:hAnsi="Google Sans" w:cs="Google Sans" w:hint="eastAsia"/>
          <w:b/>
          <w:color w:val="000000"/>
          <w:sz w:val="24"/>
        </w:rPr>
        <w:t>人均拥有率：</w:t>
      </w:r>
      <w:r>
        <w:rPr>
          <w:rFonts w:ascii="Google Sans" w:eastAsia="Google Sans" w:hAnsi="Google Sans" w:cs="Google Sans" w:hint="eastAsia"/>
          <w:color w:val="000000"/>
          <w:sz w:val="24"/>
        </w:rPr>
        <w:t xml:space="preserve"> 大阪府大约每 </w:t>
      </w:r>
      <w:r>
        <w:rPr>
          <w:rFonts w:ascii="Google Sans" w:eastAsia="Google Sans" w:hAnsi="Google Sans" w:cs="Google Sans" w:hint="eastAsia"/>
          <w:b/>
          <w:color w:val="000000"/>
          <w:sz w:val="24"/>
        </w:rPr>
        <w:t>1.36人就拥有1台</w:t>
      </w:r>
      <w:r>
        <w:rPr>
          <w:rFonts w:ascii="Google Sans" w:eastAsia="Google Sans" w:hAnsi="Google Sans" w:cs="Google Sans" w:hint="eastAsia"/>
          <w:color w:val="000000"/>
          <w:sz w:val="24"/>
        </w:rPr>
        <w:t xml:space="preserve"> 自行车，远高于日本全国平均水平（全国约1.85人拥有1台）。</w:t>
      </w:r>
    </w:p>
    <w:p w14:paraId="2CF04178" w14:textId="77777777" w:rsidR="00945AB5" w:rsidRDefault="002C25DB">
      <w:pPr>
        <w:spacing w:after="163"/>
        <w:ind w:firstLineChars="0" w:firstLine="0"/>
        <w:jc w:val="left"/>
      </w:pPr>
      <w:r>
        <w:rPr>
          <w:rFonts w:hint="eastAsia"/>
        </w:rPr>
        <w:t xml:space="preserve"> </w:t>
      </w:r>
    </w:p>
    <w:p w14:paraId="180C59DC" w14:textId="77777777" w:rsidR="00945AB5" w:rsidRDefault="002C25DB">
      <w:pPr>
        <w:spacing w:after="163"/>
        <w:ind w:firstLineChars="0" w:firstLine="0"/>
        <w:jc w:val="left"/>
      </w:pPr>
      <w:r>
        <w:rPr>
          <w:rFonts w:hint="eastAsia"/>
        </w:rPr>
        <w:t>高轨道—高骑行；</w:t>
      </w:r>
      <w:r>
        <w:rPr>
          <w:rFonts w:hint="eastAsia"/>
        </w:rPr>
        <w:t xml:space="preserve"> </w:t>
      </w:r>
    </w:p>
    <w:p w14:paraId="2CE0086B" w14:textId="77777777" w:rsidR="00945AB5" w:rsidRDefault="002C25DB">
      <w:pPr>
        <w:spacing w:after="163"/>
        <w:ind w:firstLineChars="0" w:firstLine="0"/>
        <w:jc w:val="left"/>
      </w:pPr>
      <w:r>
        <w:rPr>
          <w:rFonts w:hint="eastAsia"/>
        </w:rPr>
        <w:t>●</w:t>
      </w:r>
      <w:r>
        <w:rPr>
          <w:rFonts w:hint="eastAsia"/>
        </w:rPr>
        <w:t xml:space="preserve"> </w:t>
      </w:r>
      <w:r>
        <w:rPr>
          <w:rFonts w:hint="eastAsia"/>
        </w:rPr>
        <w:t>高轨道—低骑行；</w:t>
      </w:r>
      <w:r>
        <w:rPr>
          <w:rFonts w:hint="eastAsia"/>
        </w:rPr>
        <w:t xml:space="preserve"> </w:t>
      </w:r>
    </w:p>
    <w:p w14:paraId="29AFACE4" w14:textId="77777777" w:rsidR="00945AB5" w:rsidRDefault="002C25DB">
      <w:pPr>
        <w:spacing w:after="163"/>
        <w:ind w:firstLineChars="0" w:firstLine="0"/>
        <w:jc w:val="left"/>
      </w:pPr>
      <w:r>
        <w:rPr>
          <w:rFonts w:hint="eastAsia"/>
        </w:rPr>
        <w:t>●</w:t>
      </w:r>
      <w:r>
        <w:rPr>
          <w:rFonts w:hint="eastAsia"/>
        </w:rPr>
        <w:t xml:space="preserve"> </w:t>
      </w:r>
      <w:r>
        <w:rPr>
          <w:rFonts w:hint="eastAsia"/>
        </w:rPr>
        <w:t>低轨道—高骑行；</w:t>
      </w:r>
      <w:r>
        <w:rPr>
          <w:rFonts w:hint="eastAsia"/>
        </w:rPr>
        <w:t xml:space="preserve"> </w:t>
      </w:r>
    </w:p>
    <w:p w14:paraId="53886D43" w14:textId="77777777" w:rsidR="00945AB5" w:rsidRDefault="002C25DB">
      <w:pPr>
        <w:spacing w:after="163"/>
        <w:ind w:firstLineChars="0" w:firstLine="0"/>
        <w:jc w:val="left"/>
      </w:pPr>
      <w:r>
        <w:rPr>
          <w:rFonts w:hint="eastAsia"/>
        </w:rPr>
        <w:t>●</w:t>
      </w:r>
      <w:r>
        <w:rPr>
          <w:rFonts w:hint="eastAsia"/>
        </w:rPr>
        <w:t xml:space="preserve"> </w:t>
      </w:r>
      <w:r>
        <w:rPr>
          <w:rFonts w:hint="eastAsia"/>
        </w:rPr>
        <w:t>低轨道—低骑行。</w:t>
      </w:r>
      <w:r>
        <w:rPr>
          <w:rFonts w:hint="eastAsia"/>
        </w:rPr>
        <w:t xml:space="preserve"> </w:t>
      </w:r>
    </w:p>
    <w:p w14:paraId="33D4734A" w14:textId="77777777" w:rsidR="00945AB5" w:rsidRDefault="002C25DB">
      <w:pPr>
        <w:spacing w:after="163"/>
        <w:ind w:firstLineChars="0" w:firstLine="420"/>
      </w:pPr>
      <w:r>
        <w:rPr>
          <w:rFonts w:hint="eastAsia"/>
        </w:rPr>
        <w:t>其中“低轨道—高骑行”的</w:t>
      </w:r>
      <w:r>
        <w:rPr>
          <w:rFonts w:hint="eastAsia"/>
        </w:rPr>
        <w:t>network-filling</w:t>
      </w:r>
      <w:r>
        <w:rPr>
          <w:rFonts w:hint="eastAsia"/>
        </w:rPr>
        <w:t>型承载约</w:t>
      </w:r>
      <w:r>
        <w:rPr>
          <w:rFonts w:hint="eastAsia"/>
        </w:rPr>
        <w:t xml:space="preserve"> 26.3% </w:t>
      </w:r>
      <w:r>
        <w:rPr>
          <w:rFonts w:hint="eastAsia"/>
        </w:rPr>
        <w:t>的活动质量。</w:t>
      </w:r>
      <w:r>
        <w:rPr>
          <w:rFonts w:hint="eastAsia"/>
          <w:noProof/>
        </w:rPr>
        <w:drawing>
          <wp:inline distT="0" distB="0" distL="0" distR="0" wp14:anchorId="1A327C82" wp14:editId="1DDF3456">
            <wp:extent cx="5276850" cy="628650"/>
            <wp:effectExtent l="0" t="0" r="0" b="0"/>
            <wp:docPr id="41" name="fig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41"/>
                    <pic:cNvPicPr/>
                  </pic:nvPicPr>
                  <pic:blipFill>
                    <a:blip r:embed="rId11"/>
                    <a:stretch>
                      <a:fillRect/>
                    </a:stretch>
                  </pic:blipFill>
                  <pic:spPr>
                    <a:xfrm>
                      <a:off x="0" y="0"/>
                      <a:ext cx="5276850" cy="628650"/>
                    </a:xfrm>
                    <a:prstGeom prst="rect">
                      <a:avLst/>
                    </a:prstGeom>
                  </pic:spPr>
                </pic:pic>
              </a:graphicData>
            </a:graphic>
          </wp:inline>
        </w:drawing>
      </w:r>
    </w:p>
    <w:p w14:paraId="7857B073" w14:textId="77777777" w:rsidR="00945AB5" w:rsidRDefault="002C25DB">
      <w:pPr>
        <w:spacing w:after="163"/>
        <w:ind w:firstLineChars="0" w:firstLine="0"/>
      </w:pPr>
      <w:r>
        <w:rPr>
          <w:rFonts w:hint="eastAsia"/>
        </w:rPr>
        <w:t>●骑行活动质量</w:t>
      </w:r>
      <w:r>
        <w:rPr>
          <w:rFonts w:hint="eastAsia"/>
        </w:rPr>
        <w:t xml:space="preserve"> = Strava</w:t>
      </w:r>
      <w:r>
        <w:rPr>
          <w:rFonts w:hint="eastAsia"/>
        </w:rPr>
        <w:t>相对强度</w:t>
      </w:r>
      <w:r>
        <w:rPr>
          <w:rFonts w:hint="eastAsia"/>
        </w:rPr>
        <w:t xml:space="preserve"> </w:t>
      </w:r>
      <w:r>
        <w:rPr>
          <w:rFonts w:hint="eastAsia"/>
        </w:rPr>
        <w:t>×</w:t>
      </w:r>
      <w:r>
        <w:rPr>
          <w:rFonts w:hint="eastAsia"/>
        </w:rPr>
        <w:t xml:space="preserve"> </w:t>
      </w:r>
      <w:r>
        <w:rPr>
          <w:rFonts w:hint="eastAsia"/>
        </w:rPr>
        <w:t>道路长度；</w:t>
      </w:r>
    </w:p>
    <w:p w14:paraId="5719326C" w14:textId="77777777" w:rsidR="00945AB5" w:rsidRDefault="002C25DB">
      <w:pPr>
        <w:spacing w:after="163"/>
        <w:ind w:firstLineChars="0" w:firstLine="0"/>
      </w:pPr>
      <w:r>
        <w:rPr>
          <w:rFonts w:hint="eastAsia"/>
        </w:rPr>
        <w:t>●距站距离</w:t>
      </w:r>
      <w:r>
        <w:rPr>
          <w:rFonts w:hint="eastAsia"/>
        </w:rPr>
        <w:t xml:space="preserve"> = </w:t>
      </w:r>
      <w:r>
        <w:rPr>
          <w:rFonts w:hint="eastAsia"/>
        </w:rPr>
        <w:t>道路中点或网格中心到最近轨道站的直线距离；</w:t>
      </w:r>
    </w:p>
    <w:p w14:paraId="7CB042CE" w14:textId="77777777" w:rsidR="00945AB5" w:rsidRDefault="002C25DB">
      <w:pPr>
        <w:spacing w:after="163"/>
        <w:ind w:firstLineChars="0" w:firstLine="0"/>
      </w:pPr>
      <w:r>
        <w:rPr>
          <w:rFonts w:hint="eastAsia"/>
        </w:rPr>
        <w:t>●</w:t>
      </w:r>
      <w:r>
        <w:rPr>
          <w:rFonts w:hint="eastAsia"/>
        </w:rPr>
        <w:t>800 m</w:t>
      </w:r>
      <w:r>
        <w:rPr>
          <w:rFonts w:hint="eastAsia"/>
        </w:rPr>
        <w:t>代表站点影响圈；</w:t>
      </w:r>
    </w:p>
    <w:p w14:paraId="10FFD66B" w14:textId="77777777" w:rsidR="00945AB5" w:rsidRDefault="002C25DB">
      <w:pPr>
        <w:spacing w:after="163"/>
        <w:ind w:firstLineChars="0" w:firstLine="0"/>
      </w:pPr>
      <w:r>
        <w:rPr>
          <w:rFonts w:hint="eastAsia"/>
        </w:rPr>
        <w:t>●</w:t>
      </w:r>
      <w:r>
        <w:rPr>
          <w:rFonts w:hint="eastAsia"/>
        </w:rPr>
        <w:t>3 km</w:t>
      </w:r>
      <w:r>
        <w:rPr>
          <w:rFonts w:hint="eastAsia"/>
        </w:rPr>
        <w:t>作为比较范围，超过</w:t>
      </w:r>
      <w:r>
        <w:rPr>
          <w:rFonts w:hint="eastAsia"/>
        </w:rPr>
        <w:t>3 km</w:t>
      </w:r>
      <w:r>
        <w:rPr>
          <w:rFonts w:hint="eastAsia"/>
        </w:rPr>
        <w:t>的道路不进入分母。</w:t>
      </w:r>
    </w:p>
    <w:p w14:paraId="1EC7DD8E" w14:textId="0560D987" w:rsidR="00945AB5" w:rsidRDefault="002C25DB" w:rsidP="00E25BEA">
      <w:pPr>
        <w:spacing w:after="163"/>
        <w:ind w:firstLineChars="0" w:firstLine="0"/>
      </w:pPr>
      <w:r>
        <w:rPr>
          <w:rFonts w:hint="eastAsia"/>
        </w:rPr>
        <w:t>全大阪府结果约为</w:t>
      </w:r>
      <w:r>
        <w:rPr>
          <w:rFonts w:hint="eastAsia"/>
        </w:rPr>
        <w:t xml:space="preserve"> 52.3%</w:t>
      </w:r>
      <w:r>
        <w:rPr>
          <w:rFonts w:hint="eastAsia"/>
        </w:rPr>
        <w:t>：即距车站</w:t>
      </w:r>
      <w:r>
        <w:rPr>
          <w:rFonts w:hint="eastAsia"/>
        </w:rPr>
        <w:t>3 km</w:t>
      </w:r>
      <w:r>
        <w:rPr>
          <w:rFonts w:hint="eastAsia"/>
        </w:rPr>
        <w:t>以内的</w:t>
      </w:r>
      <w:r>
        <w:rPr>
          <w:rFonts w:hint="eastAsia"/>
        </w:rPr>
        <w:t>Strava</w:t>
      </w:r>
      <w:r>
        <w:rPr>
          <w:rFonts w:hint="eastAsia"/>
        </w:rPr>
        <w:t>活动质量中，约</w:t>
      </w:r>
      <w:r>
        <w:rPr>
          <w:rFonts w:hint="eastAsia"/>
        </w:rPr>
        <w:t>52.3%</w:t>
      </w:r>
      <w:r>
        <w:rPr>
          <w:rFonts w:hint="eastAsia"/>
        </w:rPr>
        <w:t>位于车站</w:t>
      </w:r>
      <w:r>
        <w:rPr>
          <w:rFonts w:hint="eastAsia"/>
        </w:rPr>
        <w:t>800 m</w:t>
      </w:r>
      <w:r>
        <w:rPr>
          <w:rFonts w:hint="eastAsia"/>
        </w:rPr>
        <w:t>以内。</w:t>
      </w:r>
    </w:p>
    <w:p w14:paraId="1FCA13F3" w14:textId="77777777" w:rsidR="00945AB5" w:rsidRDefault="00945AB5">
      <w:pPr>
        <w:spacing w:after="163"/>
        <w:ind w:firstLine="420"/>
      </w:pPr>
    </w:p>
    <w:p w14:paraId="51CA49EB" w14:textId="61889BB6" w:rsidR="00945AB5" w:rsidRDefault="00945AB5">
      <w:pPr>
        <w:spacing w:after="163"/>
        <w:ind w:firstLineChars="0" w:firstLine="0"/>
        <w:jc w:val="center"/>
      </w:pPr>
    </w:p>
    <w:p w14:paraId="5882A2B9" w14:textId="50CA8463" w:rsidR="00945AB5" w:rsidRDefault="00945AB5">
      <w:pPr>
        <w:spacing w:after="163"/>
        <w:ind w:firstLineChars="0" w:firstLine="0"/>
        <w:jc w:val="center"/>
      </w:pPr>
    </w:p>
    <w:p w14:paraId="26A971B2" w14:textId="044599B1" w:rsidR="00945AB5" w:rsidRDefault="00945AB5">
      <w:pPr>
        <w:spacing w:after="163"/>
        <w:ind w:firstLineChars="0" w:firstLine="0"/>
        <w:jc w:val="center"/>
      </w:pPr>
    </w:p>
    <w:p w14:paraId="4D7B6F03" w14:textId="77777777" w:rsidR="00945AB5" w:rsidRDefault="002C25DB">
      <w:pPr>
        <w:pStyle w:val="Heading1"/>
        <w:numPr>
          <w:ilvl w:val="0"/>
          <w:numId w:val="0"/>
        </w:numPr>
        <w:spacing w:after="65"/>
      </w:pPr>
      <w:r>
        <w:rPr>
          <w:rFonts w:hint="eastAsia"/>
        </w:rPr>
        <w:t xml:space="preserve">5  </w:t>
      </w:r>
      <w:r>
        <w:rPr>
          <w:rFonts w:hint="eastAsia"/>
        </w:rPr>
        <w:t>上海—大阪比较的核心输出</w:t>
      </w:r>
    </w:p>
    <w:p w14:paraId="135EAC85" w14:textId="77777777" w:rsidR="00945AB5" w:rsidRDefault="002C25DB">
      <w:pPr>
        <w:spacing w:after="163"/>
        <w:ind w:firstLine="420"/>
      </w:pPr>
      <w:r>
        <w:rPr>
          <w:rFonts w:hint="eastAsia"/>
        </w:rPr>
        <w:t>讨论：上海与大阪具有较好的比较意义：两座城市均具有高度发达的轨道交通体系，但自行车进入轨道系统的现实基础不同。上海近年来的轨道—骑行关系更多体现为大规模无桩共享单车与地铁接驳，而日本城市长期具有较高的私人自行车使用基础，并形成了围绕铁路站点组织自行车停车</w:t>
      </w:r>
      <w:r>
        <w:rPr>
          <w:rFonts w:hint="eastAsia"/>
        </w:rPr>
        <w:lastRenderedPageBreak/>
        <w:t>和换乘的体系</w:t>
      </w:r>
      <w:r>
        <w:rPr>
          <w:rFonts w:hint="eastAsia"/>
        </w:rPr>
        <w:t>[17]</w:t>
      </w:r>
      <w:r>
        <w:rPr>
          <w:rFonts w:hint="eastAsia"/>
        </w:rPr>
        <w:t>（</w:t>
      </w:r>
      <w:r>
        <w:rPr>
          <w:rFonts w:hint="eastAsia"/>
        </w:rPr>
        <w:t>Tomita &amp; Nakayama, 2017</w:t>
      </w:r>
      <w:r>
        <w:rPr>
          <w:rFonts w:hint="eastAsia"/>
        </w:rPr>
        <w:t>；</w:t>
      </w:r>
      <w:r>
        <w:rPr>
          <w:rFonts w:hint="eastAsia"/>
        </w:rPr>
        <w:t>Kang &amp; Miwa, 2025</w:t>
      </w:r>
      <w:r>
        <w:rPr>
          <w:rFonts w:hint="eastAsia"/>
        </w:rPr>
        <w:t>）。因此，本文不预设哪一种体系必然形成更好的轨道—骑行关系，而是考察：在相似的轨道导向城市结构下，不同自行车体系是否对应不同的骑行空间组织方式。</w:t>
      </w:r>
    </w:p>
    <w:p w14:paraId="320D2968" w14:textId="77777777" w:rsidR="00945AB5" w:rsidRDefault="002C25DB">
      <w:pPr>
        <w:spacing w:after="163"/>
        <w:ind w:firstLine="420"/>
      </w:pPr>
      <w:r>
        <w:rPr>
          <w:rFonts w:hint="eastAsia"/>
        </w:rPr>
        <w:t>比较不预设哪座城市“更好”，也不直接比较绝对骑行量，而是比较三层关系的形态和强弱。在节点关系维度，上海侧重考察骑行对轨道站的依赖程度、距离衰减与站口集聚，大阪在同一指标体系下进行比较；在网络关系维度，上海考察骑行离站后的延伸、连续网络与轨道稀缺区表现，大阪在同一指标体系下进行比较；在城市结构维度，上海分析中心</w:t>
      </w:r>
      <w:r>
        <w:rPr>
          <w:rFonts w:hint="eastAsia"/>
        </w:rPr>
        <w:t>/</w:t>
      </w:r>
      <w:r>
        <w:rPr>
          <w:rFonts w:hint="eastAsia"/>
        </w:rPr>
        <w:t>外围、轨道密度、</w:t>
      </w:r>
      <w:r>
        <w:rPr>
          <w:rFonts w:hint="eastAsia"/>
        </w:rPr>
        <w:t>GR/shading</w:t>
      </w:r>
      <w:r>
        <w:rPr>
          <w:rFonts w:hint="eastAsia"/>
        </w:rPr>
        <w:t>对上述关系的影响，大阪在同一指标体系下进行比较。</w:t>
      </w:r>
    </w:p>
    <w:p w14:paraId="3DFA525F" w14:textId="77777777" w:rsidR="00945AB5" w:rsidRDefault="002C25DB">
      <w:pPr>
        <w:spacing w:after="163"/>
        <w:ind w:firstLine="420"/>
      </w:pPr>
      <w:r>
        <w:rPr>
          <w:rFonts w:hint="eastAsia"/>
        </w:rPr>
        <w:t>最终可根据实证结果概括两市各自的“轨道—骑行空间组织谱系”，例如更偏</w:t>
      </w:r>
      <w:r>
        <w:rPr>
          <w:rFonts w:hint="eastAsia"/>
        </w:rPr>
        <w:t>Station-oriented</w:t>
      </w:r>
      <w:r>
        <w:rPr>
          <w:rFonts w:hint="eastAsia"/>
        </w:rPr>
        <w:t>、</w:t>
      </w:r>
      <w:r>
        <w:rPr>
          <w:rFonts w:hint="eastAsia"/>
        </w:rPr>
        <w:t>Cycling-extended</w:t>
      </w:r>
      <w:r>
        <w:rPr>
          <w:rFonts w:hint="eastAsia"/>
        </w:rPr>
        <w:t>或</w:t>
      </w:r>
      <w:r>
        <w:rPr>
          <w:rFonts w:hint="eastAsia"/>
        </w:rPr>
        <w:t>Network-filling</w:t>
      </w:r>
      <w:r>
        <w:rPr>
          <w:rFonts w:hint="eastAsia"/>
        </w:rPr>
        <w:t>，但这些应作为结果而非预设结论。</w:t>
      </w:r>
    </w:p>
    <w:p w14:paraId="4736ED50" w14:textId="77777777" w:rsidR="00945AB5" w:rsidRDefault="00945AB5">
      <w:pPr>
        <w:spacing w:after="163"/>
        <w:ind w:firstLine="420"/>
      </w:pPr>
    </w:p>
    <w:p w14:paraId="213AF7FF" w14:textId="77777777" w:rsidR="00945AB5" w:rsidRDefault="002C25DB">
      <w:pPr>
        <w:spacing w:after="163"/>
        <w:ind w:firstLine="420"/>
      </w:pPr>
      <w:r>
        <w:rPr>
          <w:rFonts w:hint="eastAsia"/>
        </w:rPr>
        <w:t>基于已识别的</w:t>
      </w:r>
      <w:r>
        <w:rPr>
          <w:rFonts w:hint="eastAsia"/>
        </w:rPr>
        <w:t>551,950</w:t>
      </w:r>
      <w:r>
        <w:rPr>
          <w:rFonts w:hint="eastAsia"/>
        </w:rPr>
        <w:t>次共享单车接驳出行，上海共享单车接驳轨道交通出行呈现出以下已验证的空间组织趋势：</w:t>
      </w:r>
    </w:p>
    <w:p w14:paraId="6E48B49F" w14:textId="77777777" w:rsidR="00945AB5" w:rsidRDefault="002C25DB">
      <w:pPr>
        <w:spacing w:after="163"/>
        <w:ind w:firstLine="420"/>
      </w:pPr>
      <w:r>
        <w:rPr>
          <w:rFonts w:hint="eastAsia"/>
        </w:rPr>
        <w:t xml:space="preserve">1. </w:t>
      </w:r>
      <w:r>
        <w:rPr>
          <w:rFonts w:hint="eastAsia"/>
        </w:rPr>
        <w:t>节点集聚特征显著：</w:t>
      </w:r>
      <w:r>
        <w:rPr>
          <w:rFonts w:hint="eastAsia"/>
        </w:rPr>
        <w:t>85%</w:t>
      </w:r>
      <w:r>
        <w:rPr>
          <w:rFonts w:hint="eastAsia"/>
        </w:rPr>
        <w:t>的接驳距离在</w:t>
      </w:r>
      <w:r>
        <w:rPr>
          <w:rFonts w:hint="eastAsia"/>
        </w:rPr>
        <w:t>1.35 km</w:t>
      </w:r>
      <w:r>
        <w:rPr>
          <w:rFonts w:hint="eastAsia"/>
        </w:rPr>
        <w:t>以内，平均</w:t>
      </w:r>
      <w:r>
        <w:rPr>
          <w:rFonts w:hint="eastAsia"/>
        </w:rPr>
        <w:t>0.88 km</w:t>
      </w:r>
      <w:r>
        <w:rPr>
          <w:rFonts w:hint="eastAsia"/>
        </w:rPr>
        <w:t>，峰值频率在</w:t>
      </w:r>
      <w:r>
        <w:rPr>
          <w:rFonts w:hint="eastAsia"/>
        </w:rPr>
        <w:t>0.5</w:t>
      </w:r>
      <w:r>
        <w:rPr>
          <w:rFonts w:hint="eastAsia"/>
        </w:rPr>
        <w:t>–</w:t>
      </w:r>
      <w:r>
        <w:rPr>
          <w:rFonts w:hint="eastAsia"/>
        </w:rPr>
        <w:t>0.6 km</w:t>
      </w:r>
      <w:r>
        <w:rPr>
          <w:rFonts w:hint="eastAsia"/>
        </w:rPr>
        <w:t>区间。站点出入口数量是影响接驳次数的首要变量（</w:t>
      </w:r>
      <w:r>
        <w:rPr>
          <w:rFonts w:hint="eastAsia"/>
        </w:rPr>
        <w:t>RI=26.3%</w:t>
      </w:r>
      <w:r>
        <w:rPr>
          <w:rFonts w:hint="eastAsia"/>
        </w:rPr>
        <w:t>），站口可达性直接决定节点吸附范围。</w:t>
      </w:r>
    </w:p>
    <w:p w14:paraId="7646206F" w14:textId="77777777" w:rsidR="00945AB5" w:rsidRDefault="002C25DB">
      <w:pPr>
        <w:spacing w:after="163"/>
        <w:ind w:firstLine="420"/>
      </w:pPr>
      <w:r>
        <w:rPr>
          <w:rFonts w:hint="eastAsia"/>
        </w:rPr>
        <w:t xml:space="preserve">2. </w:t>
      </w:r>
      <w:r>
        <w:rPr>
          <w:rFonts w:hint="eastAsia"/>
        </w:rPr>
        <w:t>中心—外围分化明确：外环以内城市中心区接驳出行明显多于外围地区，骑行次数集中在浦西静安寺、南京东路、南京西路及浦东陆家嘴等商业商务区。中心区共享单车与网约车在短距离接驳上存在竞争；外围地区二者形成互补。</w:t>
      </w:r>
    </w:p>
    <w:p w14:paraId="7B573915" w14:textId="77777777" w:rsidR="00945AB5" w:rsidRDefault="002C25DB">
      <w:pPr>
        <w:spacing w:after="163"/>
        <w:ind w:firstLine="420"/>
      </w:pPr>
      <w:r>
        <w:rPr>
          <w:rFonts w:hint="eastAsia"/>
        </w:rPr>
        <w:t xml:space="preserve">3. </w:t>
      </w:r>
      <w:r>
        <w:rPr>
          <w:rFonts w:hint="eastAsia"/>
        </w:rPr>
        <w:t>建成环境非线性塑造：距市中心距离（</w:t>
      </w:r>
      <w:r>
        <w:rPr>
          <w:rFonts w:hint="eastAsia"/>
        </w:rPr>
        <w:t>RI=13.5%</w:t>
      </w:r>
      <w:r>
        <w:rPr>
          <w:rFonts w:hint="eastAsia"/>
        </w:rPr>
        <w:t>）、支路网密度（</w:t>
      </w:r>
      <w:r>
        <w:rPr>
          <w:rFonts w:hint="eastAsia"/>
        </w:rPr>
        <w:t>RI=12.7%</w:t>
      </w:r>
      <w:r>
        <w:rPr>
          <w:rFonts w:hint="eastAsia"/>
        </w:rPr>
        <w:t>，阈值</w:t>
      </w:r>
      <w:r>
        <w:rPr>
          <w:rFonts w:hint="eastAsia"/>
        </w:rPr>
        <w:t>5.2 km/km</w:t>
      </w:r>
      <w:r>
        <w:rPr>
          <w:rFonts w:hint="eastAsia"/>
        </w:rPr>
        <w:t>²）、容积率（</w:t>
      </w:r>
      <w:r>
        <w:rPr>
          <w:rFonts w:hint="eastAsia"/>
        </w:rPr>
        <w:t>RI=12.1%</w:t>
      </w:r>
      <w:r>
        <w:rPr>
          <w:rFonts w:hint="eastAsia"/>
        </w:rPr>
        <w:t>，峰值</w:t>
      </w:r>
      <w:r>
        <w:rPr>
          <w:rFonts w:hint="eastAsia"/>
        </w:rPr>
        <w:t>1.0</w:t>
      </w:r>
      <w:r>
        <w:rPr>
          <w:rFonts w:hint="eastAsia"/>
        </w:rPr>
        <w:t>–</w:t>
      </w:r>
      <w:r>
        <w:rPr>
          <w:rFonts w:hint="eastAsia"/>
        </w:rPr>
        <w:t>2.0</w:t>
      </w:r>
      <w:r>
        <w:rPr>
          <w:rFonts w:hint="eastAsia"/>
        </w:rPr>
        <w:t>）等变量对接驳次数具有显著非线性影响，不同城市结构条件下骑行空间组织机制存在差异。</w:t>
      </w:r>
    </w:p>
    <w:p w14:paraId="5C35D715" w14:textId="77777777" w:rsidR="00945AB5" w:rsidRDefault="002C25DB">
      <w:pPr>
        <w:spacing w:after="163"/>
        <w:ind w:firstLine="420"/>
      </w:pPr>
      <w:r>
        <w:rPr>
          <w:rFonts w:hint="eastAsia"/>
        </w:rPr>
        <w:t xml:space="preserve">4. </w:t>
      </w:r>
      <w:r>
        <w:rPr>
          <w:rFonts w:hint="eastAsia"/>
        </w:rPr>
        <w:t>街道骑行品质的人本视角补充：在内环</w:t>
      </w:r>
      <w:r>
        <w:rPr>
          <w:rFonts w:hint="eastAsia"/>
        </w:rPr>
        <w:t>90</w:t>
      </w:r>
      <w:r>
        <w:rPr>
          <w:rFonts w:hint="eastAsia"/>
        </w:rPr>
        <w:t>个站点的微观分析中，可骑行性（非机动车道连续性）和可达性（目的地丰富度）是影响共享单车接驳的显著因素，而安全性和舒适性未达显著——表明共享单车接驳以</w:t>
      </w:r>
      <w:r>
        <w:rPr>
          <w:rFonts w:hint="eastAsia"/>
        </w:rPr>
        <w:t>"</w:t>
      </w:r>
      <w:r>
        <w:rPr>
          <w:rFonts w:hint="eastAsia"/>
        </w:rPr>
        <w:t>路权保障和可达优先</w:t>
      </w:r>
      <w:r>
        <w:rPr>
          <w:rFonts w:hint="eastAsia"/>
        </w:rPr>
        <w:t>"</w:t>
      </w:r>
      <w:r>
        <w:rPr>
          <w:rFonts w:hint="eastAsia"/>
        </w:rPr>
        <w:t>的实用主义原则为主导。</w:t>
      </w:r>
      <w:r>
        <w:rPr>
          <w:rFonts w:hint="eastAsia"/>
        </w:rPr>
        <w:t>80.8%</w:t>
      </w:r>
      <w:r>
        <w:rPr>
          <w:rFonts w:hint="eastAsia"/>
        </w:rPr>
        <w:t>的内环街道为机非混合，骑行路权保障不足是制约骑行网络延伸的关键瓶颈。</w:t>
      </w:r>
    </w:p>
    <w:p w14:paraId="18893598" w14:textId="77777777" w:rsidR="00945AB5" w:rsidRDefault="002C25DB">
      <w:pPr>
        <w:pStyle w:val="Heading1"/>
        <w:numPr>
          <w:ilvl w:val="0"/>
          <w:numId w:val="0"/>
        </w:numPr>
        <w:spacing w:after="65"/>
      </w:pPr>
      <w:r>
        <w:rPr>
          <w:rFonts w:hint="eastAsia"/>
        </w:rPr>
        <w:t xml:space="preserve">6  </w:t>
      </w:r>
      <w:r>
        <w:rPr>
          <w:rFonts w:hint="eastAsia"/>
        </w:rPr>
        <w:t>面向中国</w:t>
      </w:r>
      <w:r>
        <w:rPr>
          <w:rFonts w:hint="eastAsia"/>
        </w:rPr>
        <w:t>TOD</w:t>
      </w:r>
      <w:r>
        <w:rPr>
          <w:rFonts w:hint="eastAsia"/>
        </w:rPr>
        <w:t>的规划启示</w:t>
      </w:r>
    </w:p>
    <w:p w14:paraId="62D9D073" w14:textId="77777777" w:rsidR="00945AB5" w:rsidRDefault="002C25DB">
      <w:pPr>
        <w:spacing w:after="163"/>
        <w:ind w:firstLine="420"/>
      </w:pPr>
      <w:r>
        <w:rPr>
          <w:rFonts w:hint="eastAsia"/>
        </w:rPr>
        <w:t>从“站口接驳”转向多功能认识：骑行可能同时承担节点接驳、站区延伸和轨道补网，不同地区需要不同的</w:t>
      </w:r>
      <w:r>
        <w:rPr>
          <w:rFonts w:hint="eastAsia"/>
        </w:rPr>
        <w:t>bike-and-rail</w:t>
      </w:r>
      <w:r>
        <w:rPr>
          <w:rFonts w:hint="eastAsia"/>
        </w:rPr>
        <w:t>策略。</w:t>
      </w:r>
    </w:p>
    <w:p w14:paraId="591EA983" w14:textId="77777777" w:rsidR="00945AB5" w:rsidRDefault="002C25DB">
      <w:pPr>
        <w:spacing w:after="163"/>
        <w:ind w:firstLine="420"/>
      </w:pPr>
      <w:r>
        <w:rPr>
          <w:rFonts w:hint="eastAsia"/>
        </w:rPr>
        <w:t>从固定</w:t>
      </w:r>
      <w:r>
        <w:rPr>
          <w:rFonts w:hint="eastAsia"/>
        </w:rPr>
        <w:t>800 m</w:t>
      </w:r>
      <w:r>
        <w:rPr>
          <w:rFonts w:hint="eastAsia"/>
        </w:rPr>
        <w:t>站区转向功能性骑行腹地：保留步行核心区，同时依据真实骑行网络、道路连续性和设施条件识别</w:t>
      </w:r>
      <w:r>
        <w:rPr>
          <w:rFonts w:hint="eastAsia"/>
        </w:rPr>
        <w:t>cycling-extended transit catchment</w:t>
      </w:r>
      <w:r>
        <w:rPr>
          <w:rFonts w:hint="eastAsia"/>
        </w:rPr>
        <w:t>。</w:t>
      </w:r>
    </w:p>
    <w:p w14:paraId="0859E959" w14:textId="77777777" w:rsidR="00945AB5" w:rsidRDefault="002C25DB">
      <w:pPr>
        <w:spacing w:after="163"/>
        <w:ind w:firstLine="420"/>
      </w:pPr>
      <w:r>
        <w:rPr>
          <w:rFonts w:hint="eastAsia"/>
        </w:rPr>
        <w:lastRenderedPageBreak/>
        <w:t>从“只围绕车站规划”转向“双向识别”：不仅从车站向外布局骑行设施，也从已有高强度骑行网络反向识别应优先连接轨道的社区与走廊。</w:t>
      </w:r>
    </w:p>
    <w:p w14:paraId="7C59BE3D" w14:textId="77777777" w:rsidR="00945AB5" w:rsidRDefault="002C25DB">
      <w:pPr>
        <w:spacing w:after="163"/>
        <w:ind w:firstLine="420"/>
      </w:pPr>
      <w:r>
        <w:rPr>
          <w:rFonts w:hint="eastAsia"/>
        </w:rPr>
        <w:t>中心与外围不采用同一模板：若外围地区呈现明显</w:t>
      </w:r>
      <w:r>
        <w:rPr>
          <w:rFonts w:hint="eastAsia"/>
        </w:rPr>
        <w:t>Network-filling</w:t>
      </w:r>
      <w:r>
        <w:rPr>
          <w:rFonts w:hint="eastAsia"/>
        </w:rPr>
        <w:t>功能，可优先通过连续骑行廊道连接低密度社区与轨道节点，而非机械复制中心区高密度</w:t>
      </w:r>
      <w:r>
        <w:rPr>
          <w:rFonts w:hint="eastAsia"/>
        </w:rPr>
        <w:t>TOD</w:t>
      </w:r>
      <w:r>
        <w:rPr>
          <w:rFonts w:hint="eastAsia"/>
        </w:rPr>
        <w:t>模式。</w:t>
      </w:r>
    </w:p>
    <w:p w14:paraId="19E4323C" w14:textId="77777777" w:rsidR="00945AB5" w:rsidRDefault="002C25DB">
      <w:pPr>
        <w:spacing w:after="163"/>
        <w:ind w:firstLine="420"/>
      </w:pPr>
      <w:r>
        <w:rPr>
          <w:rFonts w:hint="eastAsia"/>
        </w:rPr>
        <w:t>TOD</w:t>
      </w:r>
      <w:r>
        <w:rPr>
          <w:rFonts w:hint="eastAsia"/>
        </w:rPr>
        <w:t>评价加入网络指标：除车站周边停车和骑行量外，可增加</w:t>
      </w:r>
      <w:r>
        <w:rPr>
          <w:rFonts w:hint="eastAsia"/>
        </w:rPr>
        <w:t>Station dependence</w:t>
      </w:r>
      <w:r>
        <w:rPr>
          <w:rFonts w:hint="eastAsia"/>
        </w:rPr>
        <w:t>、</w:t>
      </w:r>
      <w:r>
        <w:rPr>
          <w:rFonts w:hint="eastAsia"/>
        </w:rPr>
        <w:t>Cycling catchment extension</w:t>
      </w:r>
      <w:r>
        <w:rPr>
          <w:rFonts w:hint="eastAsia"/>
        </w:rPr>
        <w:t>、</w:t>
      </w:r>
      <w:r>
        <w:rPr>
          <w:rFonts w:hint="eastAsia"/>
        </w:rPr>
        <w:t>Network continuity</w:t>
      </w:r>
      <w:r>
        <w:rPr>
          <w:rFonts w:hint="eastAsia"/>
        </w:rPr>
        <w:t>以及低轨道可达—高骑行区域占比。</w:t>
      </w:r>
    </w:p>
    <w:p w14:paraId="6267D5E0" w14:textId="77777777" w:rsidR="00945AB5" w:rsidRDefault="002C25DB">
      <w:pPr>
        <w:pStyle w:val="Heading1"/>
        <w:numPr>
          <w:ilvl w:val="0"/>
          <w:numId w:val="0"/>
        </w:numPr>
        <w:spacing w:after="65"/>
      </w:pPr>
      <w:r>
        <w:rPr>
          <w:rFonts w:hint="eastAsia"/>
        </w:rPr>
        <w:t>参考文献</w:t>
      </w:r>
    </w:p>
    <w:p w14:paraId="13FFDC05" w14:textId="77777777" w:rsidR="00945AB5" w:rsidRDefault="00945AB5">
      <w:pPr>
        <w:spacing w:after="163" w:line="240" w:lineRule="auto"/>
        <w:ind w:firstLine="428"/>
        <w:rPr>
          <w:b/>
        </w:rPr>
      </w:pPr>
    </w:p>
    <w:p w14:paraId="59A87685" w14:textId="77777777" w:rsidR="00945AB5" w:rsidRDefault="00945AB5">
      <w:pPr>
        <w:spacing w:after="163"/>
        <w:ind w:firstLineChars="95" w:firstLine="199"/>
      </w:pPr>
    </w:p>
    <w:sectPr w:rsidR="00945AB5" w:rsidSect="002626F4">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10C7E8" w14:textId="77777777" w:rsidR="00801390" w:rsidRDefault="00801390">
      <w:pPr>
        <w:spacing w:after="120" w:line="240" w:lineRule="auto"/>
        <w:ind w:firstLine="420"/>
      </w:pPr>
      <w:r>
        <w:separator/>
      </w:r>
    </w:p>
  </w:endnote>
  <w:endnote w:type="continuationSeparator" w:id="0">
    <w:p w14:paraId="1195BFB0" w14:textId="77777777" w:rsidR="00801390" w:rsidRDefault="00801390">
      <w:pPr>
        <w:spacing w:after="12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Google Sans">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C429A" w14:textId="77777777" w:rsidR="00945AB5" w:rsidRDefault="00945AB5">
    <w:pPr>
      <w:pStyle w:val="Footer"/>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213A20" w14:textId="77777777" w:rsidR="00945AB5" w:rsidRDefault="002C25DB">
    <w:pPr>
      <w:pStyle w:val="Footer"/>
      <w:spacing w:after="120"/>
      <w:ind w:firstLine="360"/>
      <w:jc w:val="center"/>
      <w:rPr>
        <w:caps/>
      </w:rPr>
    </w:pPr>
    <w:r>
      <w:rPr>
        <w:caps/>
      </w:rPr>
      <w:fldChar w:fldCharType="begin"/>
    </w:r>
    <w:r>
      <w:rPr>
        <w:caps/>
      </w:rPr>
      <w:instrText>PAGE   \* MERGEFORMAT</w:instrText>
    </w:r>
    <w:r>
      <w:rPr>
        <w:caps/>
      </w:rPr>
      <w:fldChar w:fldCharType="separate"/>
    </w:r>
    <w:r>
      <w:rPr>
        <w:caps/>
        <w:noProof/>
        <w:lang w:val="zh-CN"/>
      </w:rPr>
      <w:t>1</w:t>
    </w:r>
    <w:r>
      <w:rPr>
        <w:caps/>
        <w:noProof/>
        <w:lang w:val="zh-CN"/>
      </w:rPr>
      <w:t>9</w:t>
    </w:r>
    <w:r>
      <w:rPr>
        <w:cap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5A7A7" w14:textId="77777777" w:rsidR="00945AB5" w:rsidRDefault="00945AB5">
    <w:pPr>
      <w:pStyle w:val="Footer"/>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6CDA00" w14:textId="77777777" w:rsidR="00801390" w:rsidRDefault="00801390">
      <w:pPr>
        <w:spacing w:after="120"/>
        <w:ind w:firstLine="420"/>
      </w:pPr>
      <w:r>
        <w:separator/>
      </w:r>
    </w:p>
  </w:footnote>
  <w:footnote w:type="continuationSeparator" w:id="0">
    <w:p w14:paraId="6D88F60A" w14:textId="77777777" w:rsidR="00801390" w:rsidRDefault="00801390">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541F4" w14:textId="77777777" w:rsidR="00945AB5" w:rsidRDefault="00945AB5">
    <w:pPr>
      <w:pStyle w:val="Header"/>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02CAA" w14:textId="77777777" w:rsidR="00945AB5" w:rsidRDefault="00945AB5">
    <w:pPr>
      <w:pStyle w:val="Header"/>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33A155" w14:textId="77777777" w:rsidR="00945AB5" w:rsidRDefault="00945AB5">
    <w:pPr>
      <w:pStyle w:val="Header"/>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11B6F"/>
    <w:multiLevelType w:val="multilevel"/>
    <w:tmpl w:val="54E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C2F3B"/>
    <w:multiLevelType w:val="hybridMultilevel"/>
    <w:tmpl w:val="704458EC"/>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 w15:restartNumberingAfterBreak="0">
    <w:nsid w:val="53DF5038"/>
    <w:multiLevelType w:val="multilevel"/>
    <w:tmpl w:val="CA2468AA"/>
    <w:lvl w:ilvl="0">
      <w:start w:val="1"/>
      <w:numFmt w:val="decimal"/>
      <w:pStyle w:val="Heading1"/>
      <w:suff w:val="nothing"/>
      <w:lvlText w:val="%1"/>
      <w:lvlJc w:val="left"/>
      <w:pPr>
        <w:ind w:left="0" w:firstLine="0"/>
      </w:pPr>
      <w:rPr>
        <w:rFonts w:hint="eastAsia"/>
      </w:rPr>
    </w:lvl>
    <w:lvl w:ilvl="1">
      <w:start w:val="1"/>
      <w:numFmt w:val="decimal"/>
      <w:pStyle w:val="Heading2"/>
      <w:suff w:val="nothing"/>
      <w:lvlText w:val="%1.%2"/>
      <w:lvlJc w:val="left"/>
      <w:pPr>
        <w:ind w:left="0" w:firstLine="0"/>
      </w:pPr>
      <w:rPr>
        <w:rFonts w:hint="eastAsia"/>
      </w:rPr>
    </w:lvl>
    <w:lvl w:ilvl="2">
      <w:start w:val="1"/>
      <w:numFmt w:val="decimal"/>
      <w:pStyle w:val="Heading3"/>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580558030">
    <w:abstractNumId w:val="2"/>
  </w:num>
  <w:num w:numId="2" w16cid:durableId="340788005">
    <w:abstractNumId w:val="2"/>
  </w:num>
  <w:num w:numId="3" w16cid:durableId="807433114">
    <w:abstractNumId w:val="2"/>
  </w:num>
  <w:num w:numId="4" w16cid:durableId="1694459287">
    <w:abstractNumId w:val="2"/>
  </w:num>
  <w:num w:numId="5" w16cid:durableId="1775974877">
    <w:abstractNumId w:val="0"/>
  </w:num>
  <w:num w:numId="6" w16cid:durableId="18273597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8"/>
  <w:doNotDisplayPageBoundaries/>
  <w:bordersDoNotSurroundHeader/>
  <w:bordersDoNotSurroundFooter/>
  <w:proofState w:spelling="clean" w:grammar="clean"/>
  <w:defaultTabStop w:val="420"/>
  <w:drawingGridHorizontalSpacing w:val="105"/>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UzMGQ3OTMxZTI5ODAwNTg0MmUxY2NkMjg1MTUyNzMifQ=="/>
  </w:docVars>
  <w:rsids>
    <w:rsidRoot w:val="00B8036D"/>
    <w:rsid w:val="000008C6"/>
    <w:rsid w:val="00000D0C"/>
    <w:rsid w:val="00001986"/>
    <w:rsid w:val="0000259A"/>
    <w:rsid w:val="00003A60"/>
    <w:rsid w:val="000055A7"/>
    <w:rsid w:val="0000581A"/>
    <w:rsid w:val="00006CA2"/>
    <w:rsid w:val="00006CE6"/>
    <w:rsid w:val="000073D5"/>
    <w:rsid w:val="00007844"/>
    <w:rsid w:val="000108D1"/>
    <w:rsid w:val="000111C3"/>
    <w:rsid w:val="00011D34"/>
    <w:rsid w:val="00012220"/>
    <w:rsid w:val="00012998"/>
    <w:rsid w:val="00014170"/>
    <w:rsid w:val="000149D8"/>
    <w:rsid w:val="000161EF"/>
    <w:rsid w:val="00016E38"/>
    <w:rsid w:val="00020138"/>
    <w:rsid w:val="00020538"/>
    <w:rsid w:val="0002067F"/>
    <w:rsid w:val="00022752"/>
    <w:rsid w:val="000242FF"/>
    <w:rsid w:val="000244D0"/>
    <w:rsid w:val="000247C1"/>
    <w:rsid w:val="00024B03"/>
    <w:rsid w:val="00024D2C"/>
    <w:rsid w:val="00026280"/>
    <w:rsid w:val="00026509"/>
    <w:rsid w:val="000265D9"/>
    <w:rsid w:val="00026921"/>
    <w:rsid w:val="00027E04"/>
    <w:rsid w:val="00030ED2"/>
    <w:rsid w:val="000334C8"/>
    <w:rsid w:val="00033A63"/>
    <w:rsid w:val="00033FA1"/>
    <w:rsid w:val="0003431D"/>
    <w:rsid w:val="0003574F"/>
    <w:rsid w:val="00035916"/>
    <w:rsid w:val="00036366"/>
    <w:rsid w:val="0003725C"/>
    <w:rsid w:val="000403AE"/>
    <w:rsid w:val="00041161"/>
    <w:rsid w:val="00041175"/>
    <w:rsid w:val="00041331"/>
    <w:rsid w:val="00041BFD"/>
    <w:rsid w:val="00047F63"/>
    <w:rsid w:val="000501F9"/>
    <w:rsid w:val="00053130"/>
    <w:rsid w:val="00053DC8"/>
    <w:rsid w:val="00054288"/>
    <w:rsid w:val="00054C0A"/>
    <w:rsid w:val="00054EE9"/>
    <w:rsid w:val="00055EDE"/>
    <w:rsid w:val="00056977"/>
    <w:rsid w:val="000600C1"/>
    <w:rsid w:val="00060955"/>
    <w:rsid w:val="00060C54"/>
    <w:rsid w:val="00060D7E"/>
    <w:rsid w:val="00061A60"/>
    <w:rsid w:val="00062F84"/>
    <w:rsid w:val="000631C6"/>
    <w:rsid w:val="00065A37"/>
    <w:rsid w:val="00066C31"/>
    <w:rsid w:val="0006709D"/>
    <w:rsid w:val="00067238"/>
    <w:rsid w:val="00067247"/>
    <w:rsid w:val="000677C0"/>
    <w:rsid w:val="000703BC"/>
    <w:rsid w:val="0007157E"/>
    <w:rsid w:val="00071A8D"/>
    <w:rsid w:val="00073233"/>
    <w:rsid w:val="00073840"/>
    <w:rsid w:val="000754E6"/>
    <w:rsid w:val="000774DD"/>
    <w:rsid w:val="0007778E"/>
    <w:rsid w:val="000800B3"/>
    <w:rsid w:val="00080C33"/>
    <w:rsid w:val="000827D0"/>
    <w:rsid w:val="00082A82"/>
    <w:rsid w:val="00082DE1"/>
    <w:rsid w:val="00082F5D"/>
    <w:rsid w:val="000831F3"/>
    <w:rsid w:val="00084008"/>
    <w:rsid w:val="000847CF"/>
    <w:rsid w:val="000852AF"/>
    <w:rsid w:val="0008664A"/>
    <w:rsid w:val="00086ADC"/>
    <w:rsid w:val="00090121"/>
    <w:rsid w:val="00090644"/>
    <w:rsid w:val="00090AF6"/>
    <w:rsid w:val="00096603"/>
    <w:rsid w:val="00096AAC"/>
    <w:rsid w:val="0009733A"/>
    <w:rsid w:val="00097866"/>
    <w:rsid w:val="00097DF9"/>
    <w:rsid w:val="000A06DC"/>
    <w:rsid w:val="000A175F"/>
    <w:rsid w:val="000A1DB3"/>
    <w:rsid w:val="000A39E1"/>
    <w:rsid w:val="000A3D6C"/>
    <w:rsid w:val="000A5549"/>
    <w:rsid w:val="000A591C"/>
    <w:rsid w:val="000A6E78"/>
    <w:rsid w:val="000A7112"/>
    <w:rsid w:val="000A78B5"/>
    <w:rsid w:val="000B0033"/>
    <w:rsid w:val="000B0C2B"/>
    <w:rsid w:val="000B208E"/>
    <w:rsid w:val="000B28D0"/>
    <w:rsid w:val="000B3217"/>
    <w:rsid w:val="000B4C14"/>
    <w:rsid w:val="000B5276"/>
    <w:rsid w:val="000B611E"/>
    <w:rsid w:val="000B676A"/>
    <w:rsid w:val="000B7346"/>
    <w:rsid w:val="000C1BEB"/>
    <w:rsid w:val="000C1EF7"/>
    <w:rsid w:val="000C2E52"/>
    <w:rsid w:val="000C2F7B"/>
    <w:rsid w:val="000C3592"/>
    <w:rsid w:val="000C3806"/>
    <w:rsid w:val="000C5005"/>
    <w:rsid w:val="000C5C77"/>
    <w:rsid w:val="000C6B47"/>
    <w:rsid w:val="000C6C42"/>
    <w:rsid w:val="000D0AB8"/>
    <w:rsid w:val="000D0DEE"/>
    <w:rsid w:val="000D0FEF"/>
    <w:rsid w:val="000D1257"/>
    <w:rsid w:val="000D2368"/>
    <w:rsid w:val="000D241D"/>
    <w:rsid w:val="000D4023"/>
    <w:rsid w:val="000D484D"/>
    <w:rsid w:val="000D5064"/>
    <w:rsid w:val="000D5617"/>
    <w:rsid w:val="000D5A89"/>
    <w:rsid w:val="000D61E0"/>
    <w:rsid w:val="000D62A9"/>
    <w:rsid w:val="000D6FFE"/>
    <w:rsid w:val="000D70F7"/>
    <w:rsid w:val="000E1BC5"/>
    <w:rsid w:val="000E1DBA"/>
    <w:rsid w:val="000E21E3"/>
    <w:rsid w:val="000E3C68"/>
    <w:rsid w:val="000E3CD9"/>
    <w:rsid w:val="000E4CB6"/>
    <w:rsid w:val="000E4F1D"/>
    <w:rsid w:val="000E52CF"/>
    <w:rsid w:val="000E64C1"/>
    <w:rsid w:val="000E6AAB"/>
    <w:rsid w:val="000E6AE2"/>
    <w:rsid w:val="000E7EA6"/>
    <w:rsid w:val="000F1F52"/>
    <w:rsid w:val="000F39D3"/>
    <w:rsid w:val="000F3E4F"/>
    <w:rsid w:val="000F4360"/>
    <w:rsid w:val="000F480E"/>
    <w:rsid w:val="000F4CE5"/>
    <w:rsid w:val="000F5141"/>
    <w:rsid w:val="000F6D5F"/>
    <w:rsid w:val="000F7B9E"/>
    <w:rsid w:val="0010068D"/>
    <w:rsid w:val="00100F20"/>
    <w:rsid w:val="001012B2"/>
    <w:rsid w:val="001013E7"/>
    <w:rsid w:val="001018BC"/>
    <w:rsid w:val="001020EE"/>
    <w:rsid w:val="00102D0B"/>
    <w:rsid w:val="00106097"/>
    <w:rsid w:val="00106924"/>
    <w:rsid w:val="001071C3"/>
    <w:rsid w:val="00110147"/>
    <w:rsid w:val="001110B5"/>
    <w:rsid w:val="00111FC5"/>
    <w:rsid w:val="00114572"/>
    <w:rsid w:val="00114E0B"/>
    <w:rsid w:val="0011721E"/>
    <w:rsid w:val="0012042C"/>
    <w:rsid w:val="00122980"/>
    <w:rsid w:val="0012312F"/>
    <w:rsid w:val="0012314D"/>
    <w:rsid w:val="00123B77"/>
    <w:rsid w:val="001241A0"/>
    <w:rsid w:val="00125C85"/>
    <w:rsid w:val="00125EA4"/>
    <w:rsid w:val="00130AD3"/>
    <w:rsid w:val="001313E3"/>
    <w:rsid w:val="001321E1"/>
    <w:rsid w:val="001326F3"/>
    <w:rsid w:val="00134242"/>
    <w:rsid w:val="001376A9"/>
    <w:rsid w:val="00137BAE"/>
    <w:rsid w:val="00140FBD"/>
    <w:rsid w:val="00141D78"/>
    <w:rsid w:val="00141E10"/>
    <w:rsid w:val="00143C31"/>
    <w:rsid w:val="00146A50"/>
    <w:rsid w:val="001471B8"/>
    <w:rsid w:val="001478D8"/>
    <w:rsid w:val="00147DAE"/>
    <w:rsid w:val="0015169A"/>
    <w:rsid w:val="001516E0"/>
    <w:rsid w:val="00151AF2"/>
    <w:rsid w:val="00151EF6"/>
    <w:rsid w:val="001525CD"/>
    <w:rsid w:val="00152A6D"/>
    <w:rsid w:val="0015666B"/>
    <w:rsid w:val="001567A7"/>
    <w:rsid w:val="00156DE5"/>
    <w:rsid w:val="00156ED8"/>
    <w:rsid w:val="00160B90"/>
    <w:rsid w:val="001610AB"/>
    <w:rsid w:val="00161C71"/>
    <w:rsid w:val="00161D50"/>
    <w:rsid w:val="0016200A"/>
    <w:rsid w:val="00162FB2"/>
    <w:rsid w:val="001631E3"/>
    <w:rsid w:val="0016776B"/>
    <w:rsid w:val="00167AC9"/>
    <w:rsid w:val="001704C3"/>
    <w:rsid w:val="001719FE"/>
    <w:rsid w:val="00171CD2"/>
    <w:rsid w:val="001729E5"/>
    <w:rsid w:val="00172CE5"/>
    <w:rsid w:val="00172DB3"/>
    <w:rsid w:val="00173FFA"/>
    <w:rsid w:val="001742CE"/>
    <w:rsid w:val="00174B73"/>
    <w:rsid w:val="00175422"/>
    <w:rsid w:val="00175446"/>
    <w:rsid w:val="0017666D"/>
    <w:rsid w:val="0017680B"/>
    <w:rsid w:val="001769E6"/>
    <w:rsid w:val="00177349"/>
    <w:rsid w:val="00180079"/>
    <w:rsid w:val="00180464"/>
    <w:rsid w:val="00180CA2"/>
    <w:rsid w:val="00181262"/>
    <w:rsid w:val="00181532"/>
    <w:rsid w:val="00182A6D"/>
    <w:rsid w:val="00182AD4"/>
    <w:rsid w:val="00184FCA"/>
    <w:rsid w:val="00185195"/>
    <w:rsid w:val="00185D15"/>
    <w:rsid w:val="00186957"/>
    <w:rsid w:val="00186DB4"/>
    <w:rsid w:val="00186F52"/>
    <w:rsid w:val="0019064E"/>
    <w:rsid w:val="00190D1A"/>
    <w:rsid w:val="00195B36"/>
    <w:rsid w:val="0019672D"/>
    <w:rsid w:val="001A044A"/>
    <w:rsid w:val="001A0688"/>
    <w:rsid w:val="001A0E2A"/>
    <w:rsid w:val="001A3FD3"/>
    <w:rsid w:val="001A5321"/>
    <w:rsid w:val="001A61FF"/>
    <w:rsid w:val="001B2672"/>
    <w:rsid w:val="001B2778"/>
    <w:rsid w:val="001B2AC6"/>
    <w:rsid w:val="001B2BA9"/>
    <w:rsid w:val="001B3942"/>
    <w:rsid w:val="001B413F"/>
    <w:rsid w:val="001B46FF"/>
    <w:rsid w:val="001B4DEC"/>
    <w:rsid w:val="001B50FA"/>
    <w:rsid w:val="001B5785"/>
    <w:rsid w:val="001B6697"/>
    <w:rsid w:val="001B681B"/>
    <w:rsid w:val="001B7293"/>
    <w:rsid w:val="001B77EF"/>
    <w:rsid w:val="001C01F7"/>
    <w:rsid w:val="001C084D"/>
    <w:rsid w:val="001C1922"/>
    <w:rsid w:val="001C2D28"/>
    <w:rsid w:val="001C4659"/>
    <w:rsid w:val="001C4BE6"/>
    <w:rsid w:val="001C5CC5"/>
    <w:rsid w:val="001C5F17"/>
    <w:rsid w:val="001C61F0"/>
    <w:rsid w:val="001C660C"/>
    <w:rsid w:val="001C684A"/>
    <w:rsid w:val="001C7BD5"/>
    <w:rsid w:val="001D132C"/>
    <w:rsid w:val="001D1B0C"/>
    <w:rsid w:val="001D2FD8"/>
    <w:rsid w:val="001D4028"/>
    <w:rsid w:val="001D4C9D"/>
    <w:rsid w:val="001D5075"/>
    <w:rsid w:val="001D5A7F"/>
    <w:rsid w:val="001D5F97"/>
    <w:rsid w:val="001D7B4A"/>
    <w:rsid w:val="001E1873"/>
    <w:rsid w:val="001E381D"/>
    <w:rsid w:val="001E3F3E"/>
    <w:rsid w:val="001E7008"/>
    <w:rsid w:val="001F0532"/>
    <w:rsid w:val="001F1A34"/>
    <w:rsid w:val="001F1D7C"/>
    <w:rsid w:val="001F4979"/>
    <w:rsid w:val="001F765A"/>
    <w:rsid w:val="001F77B3"/>
    <w:rsid w:val="001F7B39"/>
    <w:rsid w:val="002000B0"/>
    <w:rsid w:val="00201886"/>
    <w:rsid w:val="00202069"/>
    <w:rsid w:val="002037DA"/>
    <w:rsid w:val="00206BDA"/>
    <w:rsid w:val="00206DE6"/>
    <w:rsid w:val="00206F94"/>
    <w:rsid w:val="00207803"/>
    <w:rsid w:val="00212324"/>
    <w:rsid w:val="0021451E"/>
    <w:rsid w:val="00217A41"/>
    <w:rsid w:val="00220877"/>
    <w:rsid w:val="00220C74"/>
    <w:rsid w:val="002217F9"/>
    <w:rsid w:val="00222A90"/>
    <w:rsid w:val="0022366D"/>
    <w:rsid w:val="00223A46"/>
    <w:rsid w:val="00224DB4"/>
    <w:rsid w:val="00225890"/>
    <w:rsid w:val="0022647F"/>
    <w:rsid w:val="002312E4"/>
    <w:rsid w:val="00231618"/>
    <w:rsid w:val="002324AE"/>
    <w:rsid w:val="00233565"/>
    <w:rsid w:val="002339CE"/>
    <w:rsid w:val="0023495B"/>
    <w:rsid w:val="00234E4E"/>
    <w:rsid w:val="00234E69"/>
    <w:rsid w:val="00236470"/>
    <w:rsid w:val="0023791F"/>
    <w:rsid w:val="0023798B"/>
    <w:rsid w:val="00237A19"/>
    <w:rsid w:val="002404EB"/>
    <w:rsid w:val="00242D41"/>
    <w:rsid w:val="002430D9"/>
    <w:rsid w:val="0024315E"/>
    <w:rsid w:val="00243458"/>
    <w:rsid w:val="002437C8"/>
    <w:rsid w:val="002449AC"/>
    <w:rsid w:val="00244B1A"/>
    <w:rsid w:val="0024748E"/>
    <w:rsid w:val="00251621"/>
    <w:rsid w:val="00253059"/>
    <w:rsid w:val="00254515"/>
    <w:rsid w:val="0025483E"/>
    <w:rsid w:val="00254D5B"/>
    <w:rsid w:val="00255850"/>
    <w:rsid w:val="00255FA0"/>
    <w:rsid w:val="0025731E"/>
    <w:rsid w:val="0025745E"/>
    <w:rsid w:val="002577EB"/>
    <w:rsid w:val="00260A98"/>
    <w:rsid w:val="0026172B"/>
    <w:rsid w:val="00262235"/>
    <w:rsid w:val="002626F4"/>
    <w:rsid w:val="00262D71"/>
    <w:rsid w:val="00264CF7"/>
    <w:rsid w:val="0026675B"/>
    <w:rsid w:val="00267136"/>
    <w:rsid w:val="002713BD"/>
    <w:rsid w:val="002716B2"/>
    <w:rsid w:val="0027279B"/>
    <w:rsid w:val="00272C88"/>
    <w:rsid w:val="0027391D"/>
    <w:rsid w:val="002754AE"/>
    <w:rsid w:val="0027607D"/>
    <w:rsid w:val="00276565"/>
    <w:rsid w:val="002767DC"/>
    <w:rsid w:val="00276B7B"/>
    <w:rsid w:val="00276DB1"/>
    <w:rsid w:val="002773C8"/>
    <w:rsid w:val="00277F33"/>
    <w:rsid w:val="0028115B"/>
    <w:rsid w:val="002816DA"/>
    <w:rsid w:val="0028247F"/>
    <w:rsid w:val="00283304"/>
    <w:rsid w:val="0028333D"/>
    <w:rsid w:val="0028343F"/>
    <w:rsid w:val="00283484"/>
    <w:rsid w:val="00283663"/>
    <w:rsid w:val="00283D94"/>
    <w:rsid w:val="002843FF"/>
    <w:rsid w:val="00284AD6"/>
    <w:rsid w:val="00285235"/>
    <w:rsid w:val="00285EEC"/>
    <w:rsid w:val="002873D1"/>
    <w:rsid w:val="00287662"/>
    <w:rsid w:val="002908EF"/>
    <w:rsid w:val="002909B6"/>
    <w:rsid w:val="00292220"/>
    <w:rsid w:val="002933A7"/>
    <w:rsid w:val="002936EC"/>
    <w:rsid w:val="002936EF"/>
    <w:rsid w:val="00293764"/>
    <w:rsid w:val="002956D6"/>
    <w:rsid w:val="00296AD3"/>
    <w:rsid w:val="002970A5"/>
    <w:rsid w:val="002A0558"/>
    <w:rsid w:val="002A062C"/>
    <w:rsid w:val="002A3AC5"/>
    <w:rsid w:val="002A58AC"/>
    <w:rsid w:val="002A62E0"/>
    <w:rsid w:val="002A6615"/>
    <w:rsid w:val="002A762D"/>
    <w:rsid w:val="002B0751"/>
    <w:rsid w:val="002B0B98"/>
    <w:rsid w:val="002B1317"/>
    <w:rsid w:val="002B1321"/>
    <w:rsid w:val="002B13FA"/>
    <w:rsid w:val="002B2394"/>
    <w:rsid w:val="002B23E6"/>
    <w:rsid w:val="002B2AA0"/>
    <w:rsid w:val="002B4080"/>
    <w:rsid w:val="002B4D6C"/>
    <w:rsid w:val="002B4D71"/>
    <w:rsid w:val="002B63BA"/>
    <w:rsid w:val="002B66A4"/>
    <w:rsid w:val="002B7CC0"/>
    <w:rsid w:val="002B7F56"/>
    <w:rsid w:val="002C05FC"/>
    <w:rsid w:val="002C25DB"/>
    <w:rsid w:val="002D1045"/>
    <w:rsid w:val="002D13DA"/>
    <w:rsid w:val="002D16C2"/>
    <w:rsid w:val="002D295B"/>
    <w:rsid w:val="002D3666"/>
    <w:rsid w:val="002D390A"/>
    <w:rsid w:val="002D3B55"/>
    <w:rsid w:val="002D3F44"/>
    <w:rsid w:val="002D4201"/>
    <w:rsid w:val="002D5400"/>
    <w:rsid w:val="002E0FC0"/>
    <w:rsid w:val="002E1021"/>
    <w:rsid w:val="002E1C80"/>
    <w:rsid w:val="002E23AF"/>
    <w:rsid w:val="002E23F3"/>
    <w:rsid w:val="002E2DD5"/>
    <w:rsid w:val="002E2DFE"/>
    <w:rsid w:val="002E31D4"/>
    <w:rsid w:val="002E48EE"/>
    <w:rsid w:val="002E4C31"/>
    <w:rsid w:val="002E4E80"/>
    <w:rsid w:val="002E5827"/>
    <w:rsid w:val="002E58B7"/>
    <w:rsid w:val="002E63C3"/>
    <w:rsid w:val="002E7676"/>
    <w:rsid w:val="002E76A4"/>
    <w:rsid w:val="002F0FAB"/>
    <w:rsid w:val="002F134D"/>
    <w:rsid w:val="002F15B4"/>
    <w:rsid w:val="002F1CE2"/>
    <w:rsid w:val="002F1EF2"/>
    <w:rsid w:val="002F205D"/>
    <w:rsid w:val="002F369E"/>
    <w:rsid w:val="002F4B85"/>
    <w:rsid w:val="002F528C"/>
    <w:rsid w:val="002F531C"/>
    <w:rsid w:val="002F5B82"/>
    <w:rsid w:val="002F6F4A"/>
    <w:rsid w:val="00300387"/>
    <w:rsid w:val="003016CB"/>
    <w:rsid w:val="00301708"/>
    <w:rsid w:val="00302100"/>
    <w:rsid w:val="00302F9C"/>
    <w:rsid w:val="003037B3"/>
    <w:rsid w:val="00303C11"/>
    <w:rsid w:val="00304C57"/>
    <w:rsid w:val="0030563D"/>
    <w:rsid w:val="003063DF"/>
    <w:rsid w:val="00306C03"/>
    <w:rsid w:val="0030792A"/>
    <w:rsid w:val="003146E4"/>
    <w:rsid w:val="0031487D"/>
    <w:rsid w:val="00315342"/>
    <w:rsid w:val="00315585"/>
    <w:rsid w:val="0031583D"/>
    <w:rsid w:val="00315969"/>
    <w:rsid w:val="00316F84"/>
    <w:rsid w:val="00317A2E"/>
    <w:rsid w:val="00317AEC"/>
    <w:rsid w:val="00317ECB"/>
    <w:rsid w:val="00321963"/>
    <w:rsid w:val="00321E55"/>
    <w:rsid w:val="0033151A"/>
    <w:rsid w:val="0033323C"/>
    <w:rsid w:val="00333C8E"/>
    <w:rsid w:val="003341B3"/>
    <w:rsid w:val="003348AE"/>
    <w:rsid w:val="003368B3"/>
    <w:rsid w:val="00337185"/>
    <w:rsid w:val="00341122"/>
    <w:rsid w:val="00343019"/>
    <w:rsid w:val="003433BE"/>
    <w:rsid w:val="00343733"/>
    <w:rsid w:val="00343A19"/>
    <w:rsid w:val="00343C3A"/>
    <w:rsid w:val="00344032"/>
    <w:rsid w:val="003451B9"/>
    <w:rsid w:val="00345989"/>
    <w:rsid w:val="00347955"/>
    <w:rsid w:val="00347CA0"/>
    <w:rsid w:val="00347FC2"/>
    <w:rsid w:val="003519BD"/>
    <w:rsid w:val="00351A5B"/>
    <w:rsid w:val="003529D0"/>
    <w:rsid w:val="00353716"/>
    <w:rsid w:val="00353BF8"/>
    <w:rsid w:val="00354555"/>
    <w:rsid w:val="00354564"/>
    <w:rsid w:val="003558F6"/>
    <w:rsid w:val="00356AAE"/>
    <w:rsid w:val="00360B19"/>
    <w:rsid w:val="00360FC8"/>
    <w:rsid w:val="003623FE"/>
    <w:rsid w:val="003624F0"/>
    <w:rsid w:val="00362900"/>
    <w:rsid w:val="00363CDE"/>
    <w:rsid w:val="00363FE8"/>
    <w:rsid w:val="0036448A"/>
    <w:rsid w:val="00364F26"/>
    <w:rsid w:val="003654B9"/>
    <w:rsid w:val="00365769"/>
    <w:rsid w:val="0036737C"/>
    <w:rsid w:val="00367420"/>
    <w:rsid w:val="00367CF3"/>
    <w:rsid w:val="00370B37"/>
    <w:rsid w:val="00372BD6"/>
    <w:rsid w:val="00372C0C"/>
    <w:rsid w:val="0037378D"/>
    <w:rsid w:val="00373A76"/>
    <w:rsid w:val="00373EAD"/>
    <w:rsid w:val="003741FD"/>
    <w:rsid w:val="00374608"/>
    <w:rsid w:val="00375C40"/>
    <w:rsid w:val="00380134"/>
    <w:rsid w:val="00380520"/>
    <w:rsid w:val="003838C0"/>
    <w:rsid w:val="003858A0"/>
    <w:rsid w:val="00385E95"/>
    <w:rsid w:val="00386D25"/>
    <w:rsid w:val="0039016F"/>
    <w:rsid w:val="00391389"/>
    <w:rsid w:val="0039209B"/>
    <w:rsid w:val="00392F2B"/>
    <w:rsid w:val="0039332E"/>
    <w:rsid w:val="00393377"/>
    <w:rsid w:val="003933A8"/>
    <w:rsid w:val="003949AB"/>
    <w:rsid w:val="003961AA"/>
    <w:rsid w:val="00396445"/>
    <w:rsid w:val="00396AB6"/>
    <w:rsid w:val="00396FAC"/>
    <w:rsid w:val="0039711F"/>
    <w:rsid w:val="003A1935"/>
    <w:rsid w:val="003A4041"/>
    <w:rsid w:val="003A416A"/>
    <w:rsid w:val="003A557B"/>
    <w:rsid w:val="003A58EB"/>
    <w:rsid w:val="003A6D29"/>
    <w:rsid w:val="003B022D"/>
    <w:rsid w:val="003B0514"/>
    <w:rsid w:val="003B3928"/>
    <w:rsid w:val="003B3D2F"/>
    <w:rsid w:val="003B4C08"/>
    <w:rsid w:val="003B57C6"/>
    <w:rsid w:val="003B5EAC"/>
    <w:rsid w:val="003B6A4A"/>
    <w:rsid w:val="003B783F"/>
    <w:rsid w:val="003C0DF6"/>
    <w:rsid w:val="003C147C"/>
    <w:rsid w:val="003C5467"/>
    <w:rsid w:val="003C57D5"/>
    <w:rsid w:val="003C59BD"/>
    <w:rsid w:val="003C604D"/>
    <w:rsid w:val="003C63EA"/>
    <w:rsid w:val="003C7283"/>
    <w:rsid w:val="003C72BA"/>
    <w:rsid w:val="003C7367"/>
    <w:rsid w:val="003C78AC"/>
    <w:rsid w:val="003D378E"/>
    <w:rsid w:val="003D3B0D"/>
    <w:rsid w:val="003D4838"/>
    <w:rsid w:val="003D547B"/>
    <w:rsid w:val="003D5BCC"/>
    <w:rsid w:val="003D7162"/>
    <w:rsid w:val="003D7ED5"/>
    <w:rsid w:val="003E046C"/>
    <w:rsid w:val="003E380D"/>
    <w:rsid w:val="003E3A36"/>
    <w:rsid w:val="003E4931"/>
    <w:rsid w:val="003E4C7B"/>
    <w:rsid w:val="003E5DDC"/>
    <w:rsid w:val="003E6FAE"/>
    <w:rsid w:val="003F0451"/>
    <w:rsid w:val="003F161F"/>
    <w:rsid w:val="003F2115"/>
    <w:rsid w:val="003F216D"/>
    <w:rsid w:val="003F4298"/>
    <w:rsid w:val="003F4976"/>
    <w:rsid w:val="003F6B01"/>
    <w:rsid w:val="003F73F7"/>
    <w:rsid w:val="003F7910"/>
    <w:rsid w:val="003F7D05"/>
    <w:rsid w:val="0040130C"/>
    <w:rsid w:val="004017DD"/>
    <w:rsid w:val="00403A8C"/>
    <w:rsid w:val="00403FD5"/>
    <w:rsid w:val="00405C9D"/>
    <w:rsid w:val="00405CC3"/>
    <w:rsid w:val="00406530"/>
    <w:rsid w:val="00406E3C"/>
    <w:rsid w:val="0040744F"/>
    <w:rsid w:val="0040782A"/>
    <w:rsid w:val="004109F2"/>
    <w:rsid w:val="004113A5"/>
    <w:rsid w:val="004113DA"/>
    <w:rsid w:val="004124EA"/>
    <w:rsid w:val="004127A0"/>
    <w:rsid w:val="00413315"/>
    <w:rsid w:val="00413492"/>
    <w:rsid w:val="00414100"/>
    <w:rsid w:val="00414AFF"/>
    <w:rsid w:val="00414C62"/>
    <w:rsid w:val="00414D7D"/>
    <w:rsid w:val="00414E0F"/>
    <w:rsid w:val="00415C90"/>
    <w:rsid w:val="00416963"/>
    <w:rsid w:val="00416BE5"/>
    <w:rsid w:val="00416FA3"/>
    <w:rsid w:val="004176E1"/>
    <w:rsid w:val="00417BF9"/>
    <w:rsid w:val="004233E0"/>
    <w:rsid w:val="004260E1"/>
    <w:rsid w:val="004264F5"/>
    <w:rsid w:val="00426B67"/>
    <w:rsid w:val="00426C2A"/>
    <w:rsid w:val="004272B5"/>
    <w:rsid w:val="00427384"/>
    <w:rsid w:val="00433837"/>
    <w:rsid w:val="00434BF6"/>
    <w:rsid w:val="004368F8"/>
    <w:rsid w:val="00442D90"/>
    <w:rsid w:val="00442EE5"/>
    <w:rsid w:val="00442F4C"/>
    <w:rsid w:val="004433C3"/>
    <w:rsid w:val="00443535"/>
    <w:rsid w:val="00443ABA"/>
    <w:rsid w:val="004440B9"/>
    <w:rsid w:val="004451FD"/>
    <w:rsid w:val="004454BA"/>
    <w:rsid w:val="00446A10"/>
    <w:rsid w:val="00446AAA"/>
    <w:rsid w:val="00450018"/>
    <w:rsid w:val="00450E53"/>
    <w:rsid w:val="0045120F"/>
    <w:rsid w:val="004512CF"/>
    <w:rsid w:val="00451B2F"/>
    <w:rsid w:val="0045202E"/>
    <w:rsid w:val="004520E7"/>
    <w:rsid w:val="004522FE"/>
    <w:rsid w:val="00452AC5"/>
    <w:rsid w:val="0045357D"/>
    <w:rsid w:val="00453B37"/>
    <w:rsid w:val="00454BA3"/>
    <w:rsid w:val="00454C0A"/>
    <w:rsid w:val="00455704"/>
    <w:rsid w:val="00456368"/>
    <w:rsid w:val="0045778A"/>
    <w:rsid w:val="00460CA0"/>
    <w:rsid w:val="004617EE"/>
    <w:rsid w:val="004619E5"/>
    <w:rsid w:val="00461F38"/>
    <w:rsid w:val="0046278D"/>
    <w:rsid w:val="0046334E"/>
    <w:rsid w:val="0046358A"/>
    <w:rsid w:val="00465012"/>
    <w:rsid w:val="0046509D"/>
    <w:rsid w:val="0046543F"/>
    <w:rsid w:val="004654A4"/>
    <w:rsid w:val="004657B7"/>
    <w:rsid w:val="00470DC8"/>
    <w:rsid w:val="00472631"/>
    <w:rsid w:val="00473730"/>
    <w:rsid w:val="00473B84"/>
    <w:rsid w:val="00474232"/>
    <w:rsid w:val="004757ED"/>
    <w:rsid w:val="0047620F"/>
    <w:rsid w:val="00476309"/>
    <w:rsid w:val="0047672D"/>
    <w:rsid w:val="004772F0"/>
    <w:rsid w:val="00477984"/>
    <w:rsid w:val="004802B7"/>
    <w:rsid w:val="004814AA"/>
    <w:rsid w:val="004819FE"/>
    <w:rsid w:val="00481FB2"/>
    <w:rsid w:val="00482125"/>
    <w:rsid w:val="00482917"/>
    <w:rsid w:val="00483C55"/>
    <w:rsid w:val="00484405"/>
    <w:rsid w:val="00486A61"/>
    <w:rsid w:val="00487CC9"/>
    <w:rsid w:val="0049072A"/>
    <w:rsid w:val="00491BC5"/>
    <w:rsid w:val="00491BCA"/>
    <w:rsid w:val="00492A34"/>
    <w:rsid w:val="00493381"/>
    <w:rsid w:val="0049482E"/>
    <w:rsid w:val="00494965"/>
    <w:rsid w:val="00495581"/>
    <w:rsid w:val="00495AA8"/>
    <w:rsid w:val="00496638"/>
    <w:rsid w:val="004A0FB6"/>
    <w:rsid w:val="004A1010"/>
    <w:rsid w:val="004A23DD"/>
    <w:rsid w:val="004A2EB5"/>
    <w:rsid w:val="004A3526"/>
    <w:rsid w:val="004A366D"/>
    <w:rsid w:val="004A3A88"/>
    <w:rsid w:val="004A5124"/>
    <w:rsid w:val="004A5748"/>
    <w:rsid w:val="004A5FAD"/>
    <w:rsid w:val="004A69A2"/>
    <w:rsid w:val="004A6F42"/>
    <w:rsid w:val="004A7CCC"/>
    <w:rsid w:val="004B164A"/>
    <w:rsid w:val="004B2831"/>
    <w:rsid w:val="004B2E84"/>
    <w:rsid w:val="004B4107"/>
    <w:rsid w:val="004B430C"/>
    <w:rsid w:val="004B67FD"/>
    <w:rsid w:val="004B6F80"/>
    <w:rsid w:val="004B7390"/>
    <w:rsid w:val="004B78FF"/>
    <w:rsid w:val="004C14D7"/>
    <w:rsid w:val="004C1526"/>
    <w:rsid w:val="004C2C9A"/>
    <w:rsid w:val="004C30FB"/>
    <w:rsid w:val="004C32A1"/>
    <w:rsid w:val="004C383E"/>
    <w:rsid w:val="004C4583"/>
    <w:rsid w:val="004C4D5D"/>
    <w:rsid w:val="004C6C26"/>
    <w:rsid w:val="004D02C7"/>
    <w:rsid w:val="004D095F"/>
    <w:rsid w:val="004D0ACF"/>
    <w:rsid w:val="004D14A3"/>
    <w:rsid w:val="004D1D6F"/>
    <w:rsid w:val="004D4933"/>
    <w:rsid w:val="004D4BF5"/>
    <w:rsid w:val="004D59FC"/>
    <w:rsid w:val="004D5B18"/>
    <w:rsid w:val="004D688B"/>
    <w:rsid w:val="004E04C3"/>
    <w:rsid w:val="004E1329"/>
    <w:rsid w:val="004E27AB"/>
    <w:rsid w:val="004E2FC5"/>
    <w:rsid w:val="004E3E11"/>
    <w:rsid w:val="004E4AA9"/>
    <w:rsid w:val="004E6773"/>
    <w:rsid w:val="004E6BE2"/>
    <w:rsid w:val="004F16CF"/>
    <w:rsid w:val="004F19E7"/>
    <w:rsid w:val="004F1BEE"/>
    <w:rsid w:val="004F2966"/>
    <w:rsid w:val="004F44C9"/>
    <w:rsid w:val="004F5410"/>
    <w:rsid w:val="004F55EB"/>
    <w:rsid w:val="004F644B"/>
    <w:rsid w:val="004F67FF"/>
    <w:rsid w:val="004F6F27"/>
    <w:rsid w:val="004F78B2"/>
    <w:rsid w:val="005019A7"/>
    <w:rsid w:val="00502E91"/>
    <w:rsid w:val="005032FA"/>
    <w:rsid w:val="005033B5"/>
    <w:rsid w:val="0050464D"/>
    <w:rsid w:val="005047BB"/>
    <w:rsid w:val="005103AE"/>
    <w:rsid w:val="00510BFD"/>
    <w:rsid w:val="00511101"/>
    <w:rsid w:val="0051125D"/>
    <w:rsid w:val="005128F6"/>
    <w:rsid w:val="0051433A"/>
    <w:rsid w:val="00514483"/>
    <w:rsid w:val="005161E8"/>
    <w:rsid w:val="0051666F"/>
    <w:rsid w:val="00517EA8"/>
    <w:rsid w:val="005202A5"/>
    <w:rsid w:val="00520DB9"/>
    <w:rsid w:val="00521B45"/>
    <w:rsid w:val="00521CE8"/>
    <w:rsid w:val="00522881"/>
    <w:rsid w:val="00522AA6"/>
    <w:rsid w:val="005264CA"/>
    <w:rsid w:val="00526556"/>
    <w:rsid w:val="00526BE8"/>
    <w:rsid w:val="0053060B"/>
    <w:rsid w:val="00530EE7"/>
    <w:rsid w:val="00532B85"/>
    <w:rsid w:val="00535725"/>
    <w:rsid w:val="00535B7E"/>
    <w:rsid w:val="00535FC0"/>
    <w:rsid w:val="005368CD"/>
    <w:rsid w:val="00541607"/>
    <w:rsid w:val="0054185F"/>
    <w:rsid w:val="005418F5"/>
    <w:rsid w:val="00544B32"/>
    <w:rsid w:val="00545471"/>
    <w:rsid w:val="005459A0"/>
    <w:rsid w:val="00547757"/>
    <w:rsid w:val="0055135E"/>
    <w:rsid w:val="00551FD3"/>
    <w:rsid w:val="005530CE"/>
    <w:rsid w:val="005536FA"/>
    <w:rsid w:val="00553902"/>
    <w:rsid w:val="00553E6D"/>
    <w:rsid w:val="005551BF"/>
    <w:rsid w:val="00555C80"/>
    <w:rsid w:val="00555D11"/>
    <w:rsid w:val="00555D2F"/>
    <w:rsid w:val="0055616D"/>
    <w:rsid w:val="00557449"/>
    <w:rsid w:val="005577F3"/>
    <w:rsid w:val="00557971"/>
    <w:rsid w:val="0056023D"/>
    <w:rsid w:val="0056121B"/>
    <w:rsid w:val="00561C90"/>
    <w:rsid w:val="00562DBE"/>
    <w:rsid w:val="00562FB7"/>
    <w:rsid w:val="00563107"/>
    <w:rsid w:val="0056341D"/>
    <w:rsid w:val="005645CA"/>
    <w:rsid w:val="00566B6D"/>
    <w:rsid w:val="00566B8B"/>
    <w:rsid w:val="00567198"/>
    <w:rsid w:val="0057132E"/>
    <w:rsid w:val="00572702"/>
    <w:rsid w:val="005737AA"/>
    <w:rsid w:val="00574A74"/>
    <w:rsid w:val="005756E1"/>
    <w:rsid w:val="00575A81"/>
    <w:rsid w:val="005762DA"/>
    <w:rsid w:val="00576550"/>
    <w:rsid w:val="00576CE6"/>
    <w:rsid w:val="00576FA7"/>
    <w:rsid w:val="00577074"/>
    <w:rsid w:val="00577442"/>
    <w:rsid w:val="005776D4"/>
    <w:rsid w:val="00580126"/>
    <w:rsid w:val="005801BA"/>
    <w:rsid w:val="00580A7E"/>
    <w:rsid w:val="005819FB"/>
    <w:rsid w:val="00581CC9"/>
    <w:rsid w:val="00582DC9"/>
    <w:rsid w:val="005841F9"/>
    <w:rsid w:val="00584259"/>
    <w:rsid w:val="005842F3"/>
    <w:rsid w:val="005853A9"/>
    <w:rsid w:val="005854F2"/>
    <w:rsid w:val="005866BA"/>
    <w:rsid w:val="00587416"/>
    <w:rsid w:val="00587EE0"/>
    <w:rsid w:val="00590D45"/>
    <w:rsid w:val="00591691"/>
    <w:rsid w:val="00592210"/>
    <w:rsid w:val="00592907"/>
    <w:rsid w:val="00594413"/>
    <w:rsid w:val="0059787D"/>
    <w:rsid w:val="005A07E3"/>
    <w:rsid w:val="005A103E"/>
    <w:rsid w:val="005A1328"/>
    <w:rsid w:val="005A1484"/>
    <w:rsid w:val="005A3F08"/>
    <w:rsid w:val="005A4BE1"/>
    <w:rsid w:val="005A6742"/>
    <w:rsid w:val="005A6807"/>
    <w:rsid w:val="005A6EC2"/>
    <w:rsid w:val="005A71B6"/>
    <w:rsid w:val="005A7434"/>
    <w:rsid w:val="005A7566"/>
    <w:rsid w:val="005A7E4B"/>
    <w:rsid w:val="005B0BF6"/>
    <w:rsid w:val="005B1777"/>
    <w:rsid w:val="005B2B5C"/>
    <w:rsid w:val="005B2C14"/>
    <w:rsid w:val="005B3677"/>
    <w:rsid w:val="005B39DE"/>
    <w:rsid w:val="005B40AA"/>
    <w:rsid w:val="005B5271"/>
    <w:rsid w:val="005B6301"/>
    <w:rsid w:val="005B6797"/>
    <w:rsid w:val="005B6B09"/>
    <w:rsid w:val="005B6C1E"/>
    <w:rsid w:val="005C04B1"/>
    <w:rsid w:val="005C07B1"/>
    <w:rsid w:val="005C0D8F"/>
    <w:rsid w:val="005C1033"/>
    <w:rsid w:val="005C1472"/>
    <w:rsid w:val="005C1D5D"/>
    <w:rsid w:val="005C3A42"/>
    <w:rsid w:val="005C3E80"/>
    <w:rsid w:val="005C5407"/>
    <w:rsid w:val="005C5B04"/>
    <w:rsid w:val="005C5D77"/>
    <w:rsid w:val="005C6249"/>
    <w:rsid w:val="005C663B"/>
    <w:rsid w:val="005D26BA"/>
    <w:rsid w:val="005D26BB"/>
    <w:rsid w:val="005D30A1"/>
    <w:rsid w:val="005D37CE"/>
    <w:rsid w:val="005D3D2C"/>
    <w:rsid w:val="005D5618"/>
    <w:rsid w:val="005D5EC4"/>
    <w:rsid w:val="005D74FC"/>
    <w:rsid w:val="005D7A02"/>
    <w:rsid w:val="005E123D"/>
    <w:rsid w:val="005E183A"/>
    <w:rsid w:val="005E18FC"/>
    <w:rsid w:val="005E21F3"/>
    <w:rsid w:val="005E3A11"/>
    <w:rsid w:val="005E3B18"/>
    <w:rsid w:val="005E3CE4"/>
    <w:rsid w:val="005E3D40"/>
    <w:rsid w:val="005E425E"/>
    <w:rsid w:val="005E44E3"/>
    <w:rsid w:val="005E4FFB"/>
    <w:rsid w:val="005E5387"/>
    <w:rsid w:val="005E610B"/>
    <w:rsid w:val="005E6E17"/>
    <w:rsid w:val="005E6EAC"/>
    <w:rsid w:val="005F027D"/>
    <w:rsid w:val="005F06D3"/>
    <w:rsid w:val="005F14B9"/>
    <w:rsid w:val="005F17EF"/>
    <w:rsid w:val="005F1DF6"/>
    <w:rsid w:val="005F2A63"/>
    <w:rsid w:val="005F33B3"/>
    <w:rsid w:val="005F35E3"/>
    <w:rsid w:val="005F3EDA"/>
    <w:rsid w:val="005F4520"/>
    <w:rsid w:val="005F48FA"/>
    <w:rsid w:val="005F5023"/>
    <w:rsid w:val="005F575D"/>
    <w:rsid w:val="005F5DBE"/>
    <w:rsid w:val="005F5F55"/>
    <w:rsid w:val="005F6068"/>
    <w:rsid w:val="005F63AA"/>
    <w:rsid w:val="005F659A"/>
    <w:rsid w:val="005F65A3"/>
    <w:rsid w:val="00601014"/>
    <w:rsid w:val="006014FC"/>
    <w:rsid w:val="00603F8D"/>
    <w:rsid w:val="00604D28"/>
    <w:rsid w:val="00604EEF"/>
    <w:rsid w:val="00604F7C"/>
    <w:rsid w:val="00605DA7"/>
    <w:rsid w:val="00605DED"/>
    <w:rsid w:val="00606B21"/>
    <w:rsid w:val="00606FD6"/>
    <w:rsid w:val="006104CA"/>
    <w:rsid w:val="0061108F"/>
    <w:rsid w:val="006122F1"/>
    <w:rsid w:val="0061314C"/>
    <w:rsid w:val="00615CEC"/>
    <w:rsid w:val="006164CE"/>
    <w:rsid w:val="00617AA9"/>
    <w:rsid w:val="00621186"/>
    <w:rsid w:val="00621644"/>
    <w:rsid w:val="00621674"/>
    <w:rsid w:val="00621B3D"/>
    <w:rsid w:val="00621E88"/>
    <w:rsid w:val="006229A7"/>
    <w:rsid w:val="006238D3"/>
    <w:rsid w:val="006255A7"/>
    <w:rsid w:val="00625BDA"/>
    <w:rsid w:val="00630E30"/>
    <w:rsid w:val="0063334D"/>
    <w:rsid w:val="00633D5B"/>
    <w:rsid w:val="00633FB9"/>
    <w:rsid w:val="00637082"/>
    <w:rsid w:val="00637990"/>
    <w:rsid w:val="00637CC3"/>
    <w:rsid w:val="00640BC8"/>
    <w:rsid w:val="00640DE9"/>
    <w:rsid w:val="0064130B"/>
    <w:rsid w:val="00641C9D"/>
    <w:rsid w:val="0064255E"/>
    <w:rsid w:val="006432F3"/>
    <w:rsid w:val="00643535"/>
    <w:rsid w:val="0064360C"/>
    <w:rsid w:val="00644E18"/>
    <w:rsid w:val="00646F00"/>
    <w:rsid w:val="00650DD3"/>
    <w:rsid w:val="00653664"/>
    <w:rsid w:val="0065619C"/>
    <w:rsid w:val="00656747"/>
    <w:rsid w:val="00657479"/>
    <w:rsid w:val="0065783C"/>
    <w:rsid w:val="00657CD0"/>
    <w:rsid w:val="00657CE5"/>
    <w:rsid w:val="00657E1D"/>
    <w:rsid w:val="00660B88"/>
    <w:rsid w:val="00661C81"/>
    <w:rsid w:val="00661F40"/>
    <w:rsid w:val="00662876"/>
    <w:rsid w:val="00663097"/>
    <w:rsid w:val="00663673"/>
    <w:rsid w:val="00664BE1"/>
    <w:rsid w:val="00666DF1"/>
    <w:rsid w:val="00667348"/>
    <w:rsid w:val="00667992"/>
    <w:rsid w:val="00667F15"/>
    <w:rsid w:val="00670384"/>
    <w:rsid w:val="00673430"/>
    <w:rsid w:val="00673722"/>
    <w:rsid w:val="0067454C"/>
    <w:rsid w:val="00675022"/>
    <w:rsid w:val="00675080"/>
    <w:rsid w:val="006752D4"/>
    <w:rsid w:val="00675973"/>
    <w:rsid w:val="00676448"/>
    <w:rsid w:val="00676674"/>
    <w:rsid w:val="006766C3"/>
    <w:rsid w:val="00677B50"/>
    <w:rsid w:val="00680173"/>
    <w:rsid w:val="006811CB"/>
    <w:rsid w:val="00681378"/>
    <w:rsid w:val="006834B3"/>
    <w:rsid w:val="00683E25"/>
    <w:rsid w:val="00684FCE"/>
    <w:rsid w:val="0068693E"/>
    <w:rsid w:val="00686BD1"/>
    <w:rsid w:val="00686D2E"/>
    <w:rsid w:val="00686E03"/>
    <w:rsid w:val="00690239"/>
    <w:rsid w:val="0069171A"/>
    <w:rsid w:val="00691E78"/>
    <w:rsid w:val="00692934"/>
    <w:rsid w:val="0069432B"/>
    <w:rsid w:val="00695414"/>
    <w:rsid w:val="006977EA"/>
    <w:rsid w:val="00697D61"/>
    <w:rsid w:val="006A25F1"/>
    <w:rsid w:val="006A2A45"/>
    <w:rsid w:val="006A2FB1"/>
    <w:rsid w:val="006A3078"/>
    <w:rsid w:val="006A5B89"/>
    <w:rsid w:val="006B0FD6"/>
    <w:rsid w:val="006B15AC"/>
    <w:rsid w:val="006B1698"/>
    <w:rsid w:val="006B17B9"/>
    <w:rsid w:val="006B1A75"/>
    <w:rsid w:val="006B3613"/>
    <w:rsid w:val="006B47A9"/>
    <w:rsid w:val="006B4E1E"/>
    <w:rsid w:val="006B4EB3"/>
    <w:rsid w:val="006B539F"/>
    <w:rsid w:val="006B5D6D"/>
    <w:rsid w:val="006B5F5A"/>
    <w:rsid w:val="006B6154"/>
    <w:rsid w:val="006B6BF4"/>
    <w:rsid w:val="006C0398"/>
    <w:rsid w:val="006C06E6"/>
    <w:rsid w:val="006C0C66"/>
    <w:rsid w:val="006C1E59"/>
    <w:rsid w:val="006C3E62"/>
    <w:rsid w:val="006C3EC9"/>
    <w:rsid w:val="006C5392"/>
    <w:rsid w:val="006C60DA"/>
    <w:rsid w:val="006C633A"/>
    <w:rsid w:val="006C64BE"/>
    <w:rsid w:val="006C6E1F"/>
    <w:rsid w:val="006C74A3"/>
    <w:rsid w:val="006C7BF9"/>
    <w:rsid w:val="006D140C"/>
    <w:rsid w:val="006D1464"/>
    <w:rsid w:val="006D16C4"/>
    <w:rsid w:val="006D22FF"/>
    <w:rsid w:val="006D27F5"/>
    <w:rsid w:val="006D48A4"/>
    <w:rsid w:val="006D4A84"/>
    <w:rsid w:val="006D5CE9"/>
    <w:rsid w:val="006D70EC"/>
    <w:rsid w:val="006D712C"/>
    <w:rsid w:val="006D7630"/>
    <w:rsid w:val="006D7769"/>
    <w:rsid w:val="006E03DC"/>
    <w:rsid w:val="006E0472"/>
    <w:rsid w:val="006E0520"/>
    <w:rsid w:val="006E36DC"/>
    <w:rsid w:val="006E414C"/>
    <w:rsid w:val="006E50A4"/>
    <w:rsid w:val="006E52C2"/>
    <w:rsid w:val="006E5C67"/>
    <w:rsid w:val="006E640A"/>
    <w:rsid w:val="006E6615"/>
    <w:rsid w:val="006E790C"/>
    <w:rsid w:val="006F0EF2"/>
    <w:rsid w:val="006F139F"/>
    <w:rsid w:val="006F30F5"/>
    <w:rsid w:val="006F3668"/>
    <w:rsid w:val="006F506D"/>
    <w:rsid w:val="006F52AF"/>
    <w:rsid w:val="006F53CE"/>
    <w:rsid w:val="006F53E0"/>
    <w:rsid w:val="006F569A"/>
    <w:rsid w:val="006F57C9"/>
    <w:rsid w:val="006F799E"/>
    <w:rsid w:val="0070027F"/>
    <w:rsid w:val="007058D7"/>
    <w:rsid w:val="007078E7"/>
    <w:rsid w:val="00710E3C"/>
    <w:rsid w:val="00711B56"/>
    <w:rsid w:val="00714463"/>
    <w:rsid w:val="00714D9D"/>
    <w:rsid w:val="00715337"/>
    <w:rsid w:val="00716F47"/>
    <w:rsid w:val="007202AD"/>
    <w:rsid w:val="0072143C"/>
    <w:rsid w:val="00721CFE"/>
    <w:rsid w:val="00721F59"/>
    <w:rsid w:val="00722475"/>
    <w:rsid w:val="00722719"/>
    <w:rsid w:val="0072344F"/>
    <w:rsid w:val="0072593D"/>
    <w:rsid w:val="007259DD"/>
    <w:rsid w:val="00725BC3"/>
    <w:rsid w:val="0072706E"/>
    <w:rsid w:val="00727FF5"/>
    <w:rsid w:val="0073058E"/>
    <w:rsid w:val="00731386"/>
    <w:rsid w:val="00731AD5"/>
    <w:rsid w:val="00731BF9"/>
    <w:rsid w:val="00733FDB"/>
    <w:rsid w:val="007348D3"/>
    <w:rsid w:val="0073600B"/>
    <w:rsid w:val="0073639E"/>
    <w:rsid w:val="007369B9"/>
    <w:rsid w:val="00736B01"/>
    <w:rsid w:val="00737C99"/>
    <w:rsid w:val="00741069"/>
    <w:rsid w:val="00741953"/>
    <w:rsid w:val="00741BDB"/>
    <w:rsid w:val="00742399"/>
    <w:rsid w:val="00743D35"/>
    <w:rsid w:val="00744FB7"/>
    <w:rsid w:val="00747E34"/>
    <w:rsid w:val="0075148D"/>
    <w:rsid w:val="007519FE"/>
    <w:rsid w:val="00751C93"/>
    <w:rsid w:val="00752328"/>
    <w:rsid w:val="007523B8"/>
    <w:rsid w:val="00752B0B"/>
    <w:rsid w:val="00753587"/>
    <w:rsid w:val="007546F1"/>
    <w:rsid w:val="00755147"/>
    <w:rsid w:val="00755227"/>
    <w:rsid w:val="007607A8"/>
    <w:rsid w:val="007620EB"/>
    <w:rsid w:val="00763D1A"/>
    <w:rsid w:val="007647DD"/>
    <w:rsid w:val="00765A3C"/>
    <w:rsid w:val="007669D7"/>
    <w:rsid w:val="00766F43"/>
    <w:rsid w:val="00767856"/>
    <w:rsid w:val="00767A57"/>
    <w:rsid w:val="00771A98"/>
    <w:rsid w:val="00772ED3"/>
    <w:rsid w:val="007736AD"/>
    <w:rsid w:val="0077419D"/>
    <w:rsid w:val="00775933"/>
    <w:rsid w:val="00775C93"/>
    <w:rsid w:val="0077730B"/>
    <w:rsid w:val="0077737E"/>
    <w:rsid w:val="00777E0E"/>
    <w:rsid w:val="00780BC1"/>
    <w:rsid w:val="00780D06"/>
    <w:rsid w:val="00780F29"/>
    <w:rsid w:val="007825C7"/>
    <w:rsid w:val="00782ECA"/>
    <w:rsid w:val="00783138"/>
    <w:rsid w:val="00784EDB"/>
    <w:rsid w:val="00785123"/>
    <w:rsid w:val="007854C6"/>
    <w:rsid w:val="0078551B"/>
    <w:rsid w:val="00786FE1"/>
    <w:rsid w:val="00787371"/>
    <w:rsid w:val="00787951"/>
    <w:rsid w:val="007879C7"/>
    <w:rsid w:val="00790764"/>
    <w:rsid w:val="007941D3"/>
    <w:rsid w:val="00795559"/>
    <w:rsid w:val="00795845"/>
    <w:rsid w:val="00797E38"/>
    <w:rsid w:val="007A0A62"/>
    <w:rsid w:val="007A1993"/>
    <w:rsid w:val="007A1F1E"/>
    <w:rsid w:val="007A1FCD"/>
    <w:rsid w:val="007A21EA"/>
    <w:rsid w:val="007A67DC"/>
    <w:rsid w:val="007A6DD2"/>
    <w:rsid w:val="007A79FB"/>
    <w:rsid w:val="007A7EA9"/>
    <w:rsid w:val="007B07AD"/>
    <w:rsid w:val="007B30D8"/>
    <w:rsid w:val="007B50C2"/>
    <w:rsid w:val="007B5667"/>
    <w:rsid w:val="007B6363"/>
    <w:rsid w:val="007B6524"/>
    <w:rsid w:val="007B6CDA"/>
    <w:rsid w:val="007B731A"/>
    <w:rsid w:val="007B768C"/>
    <w:rsid w:val="007B77ED"/>
    <w:rsid w:val="007C013E"/>
    <w:rsid w:val="007C0A9C"/>
    <w:rsid w:val="007C181A"/>
    <w:rsid w:val="007C3BE8"/>
    <w:rsid w:val="007C3D86"/>
    <w:rsid w:val="007C456E"/>
    <w:rsid w:val="007C4E26"/>
    <w:rsid w:val="007C6B23"/>
    <w:rsid w:val="007C6FA9"/>
    <w:rsid w:val="007C76AA"/>
    <w:rsid w:val="007C77AF"/>
    <w:rsid w:val="007C79B2"/>
    <w:rsid w:val="007D051E"/>
    <w:rsid w:val="007D1A64"/>
    <w:rsid w:val="007D1FB7"/>
    <w:rsid w:val="007D2AE8"/>
    <w:rsid w:val="007D3B3E"/>
    <w:rsid w:val="007D445C"/>
    <w:rsid w:val="007D61A7"/>
    <w:rsid w:val="007D6EEB"/>
    <w:rsid w:val="007D6F09"/>
    <w:rsid w:val="007D7631"/>
    <w:rsid w:val="007D7930"/>
    <w:rsid w:val="007E011D"/>
    <w:rsid w:val="007E011F"/>
    <w:rsid w:val="007E1606"/>
    <w:rsid w:val="007E165D"/>
    <w:rsid w:val="007E25D9"/>
    <w:rsid w:val="007E309F"/>
    <w:rsid w:val="007E565E"/>
    <w:rsid w:val="007E6482"/>
    <w:rsid w:val="007E64C8"/>
    <w:rsid w:val="007E672A"/>
    <w:rsid w:val="007E6839"/>
    <w:rsid w:val="007F002B"/>
    <w:rsid w:val="007F3631"/>
    <w:rsid w:val="007F492C"/>
    <w:rsid w:val="007F4C74"/>
    <w:rsid w:val="007F4D5E"/>
    <w:rsid w:val="007F66D0"/>
    <w:rsid w:val="007F69FB"/>
    <w:rsid w:val="00801390"/>
    <w:rsid w:val="00801657"/>
    <w:rsid w:val="00801943"/>
    <w:rsid w:val="00803113"/>
    <w:rsid w:val="00804793"/>
    <w:rsid w:val="00804AB3"/>
    <w:rsid w:val="00805794"/>
    <w:rsid w:val="00805F31"/>
    <w:rsid w:val="008063BF"/>
    <w:rsid w:val="008076BB"/>
    <w:rsid w:val="00807960"/>
    <w:rsid w:val="0081053C"/>
    <w:rsid w:val="00810765"/>
    <w:rsid w:val="00810BEE"/>
    <w:rsid w:val="00810EB2"/>
    <w:rsid w:val="00812DBB"/>
    <w:rsid w:val="00813165"/>
    <w:rsid w:val="00813805"/>
    <w:rsid w:val="00814C7E"/>
    <w:rsid w:val="00815BAB"/>
    <w:rsid w:val="008165F8"/>
    <w:rsid w:val="00817314"/>
    <w:rsid w:val="00817A3F"/>
    <w:rsid w:val="00820E42"/>
    <w:rsid w:val="0082183C"/>
    <w:rsid w:val="008229CA"/>
    <w:rsid w:val="0082477F"/>
    <w:rsid w:val="008248DA"/>
    <w:rsid w:val="00825384"/>
    <w:rsid w:val="00825A71"/>
    <w:rsid w:val="008308F4"/>
    <w:rsid w:val="008338B7"/>
    <w:rsid w:val="00833ABA"/>
    <w:rsid w:val="00833BBB"/>
    <w:rsid w:val="00833E0E"/>
    <w:rsid w:val="008348DB"/>
    <w:rsid w:val="0083541B"/>
    <w:rsid w:val="008356FA"/>
    <w:rsid w:val="00836801"/>
    <w:rsid w:val="00840B6B"/>
    <w:rsid w:val="00840E88"/>
    <w:rsid w:val="00843804"/>
    <w:rsid w:val="008441DF"/>
    <w:rsid w:val="0084592D"/>
    <w:rsid w:val="00845CB8"/>
    <w:rsid w:val="008468E8"/>
    <w:rsid w:val="008472D9"/>
    <w:rsid w:val="00850519"/>
    <w:rsid w:val="008508EF"/>
    <w:rsid w:val="00850988"/>
    <w:rsid w:val="0085099B"/>
    <w:rsid w:val="00851AB3"/>
    <w:rsid w:val="00851B65"/>
    <w:rsid w:val="00851B89"/>
    <w:rsid w:val="00853130"/>
    <w:rsid w:val="00855423"/>
    <w:rsid w:val="00855AC4"/>
    <w:rsid w:val="00855B4C"/>
    <w:rsid w:val="00856117"/>
    <w:rsid w:val="00856843"/>
    <w:rsid w:val="00856965"/>
    <w:rsid w:val="00857C4C"/>
    <w:rsid w:val="00862426"/>
    <w:rsid w:val="0086307E"/>
    <w:rsid w:val="00863415"/>
    <w:rsid w:val="008638AD"/>
    <w:rsid w:val="008641ED"/>
    <w:rsid w:val="00864944"/>
    <w:rsid w:val="00864CA3"/>
    <w:rsid w:val="0086636E"/>
    <w:rsid w:val="00866977"/>
    <w:rsid w:val="00870874"/>
    <w:rsid w:val="00870C0E"/>
    <w:rsid w:val="00870E19"/>
    <w:rsid w:val="008720F9"/>
    <w:rsid w:val="00872252"/>
    <w:rsid w:val="00872506"/>
    <w:rsid w:val="0087597C"/>
    <w:rsid w:val="00876174"/>
    <w:rsid w:val="008768D6"/>
    <w:rsid w:val="0087738A"/>
    <w:rsid w:val="00877E91"/>
    <w:rsid w:val="008809F7"/>
    <w:rsid w:val="00880A7B"/>
    <w:rsid w:val="0088113B"/>
    <w:rsid w:val="008813F5"/>
    <w:rsid w:val="008824D8"/>
    <w:rsid w:val="00883189"/>
    <w:rsid w:val="00883256"/>
    <w:rsid w:val="008832E6"/>
    <w:rsid w:val="00884DBC"/>
    <w:rsid w:val="00885ED2"/>
    <w:rsid w:val="00886B71"/>
    <w:rsid w:val="00890727"/>
    <w:rsid w:val="008920DF"/>
    <w:rsid w:val="008920F0"/>
    <w:rsid w:val="0089346F"/>
    <w:rsid w:val="008937FB"/>
    <w:rsid w:val="00893FBC"/>
    <w:rsid w:val="008945A4"/>
    <w:rsid w:val="00894F64"/>
    <w:rsid w:val="00897582"/>
    <w:rsid w:val="008A09F9"/>
    <w:rsid w:val="008A0D57"/>
    <w:rsid w:val="008A0F76"/>
    <w:rsid w:val="008A1158"/>
    <w:rsid w:val="008A11D3"/>
    <w:rsid w:val="008A146B"/>
    <w:rsid w:val="008A1A14"/>
    <w:rsid w:val="008A2662"/>
    <w:rsid w:val="008A2D72"/>
    <w:rsid w:val="008A3A93"/>
    <w:rsid w:val="008A4068"/>
    <w:rsid w:val="008A426F"/>
    <w:rsid w:val="008B0D9B"/>
    <w:rsid w:val="008B27C5"/>
    <w:rsid w:val="008B2B9A"/>
    <w:rsid w:val="008B39A8"/>
    <w:rsid w:val="008B3F63"/>
    <w:rsid w:val="008B581B"/>
    <w:rsid w:val="008B6F83"/>
    <w:rsid w:val="008B78E1"/>
    <w:rsid w:val="008B7A4D"/>
    <w:rsid w:val="008C0D1C"/>
    <w:rsid w:val="008C1563"/>
    <w:rsid w:val="008C26B4"/>
    <w:rsid w:val="008C3090"/>
    <w:rsid w:val="008C3B63"/>
    <w:rsid w:val="008C3DB2"/>
    <w:rsid w:val="008C4628"/>
    <w:rsid w:val="008C4B89"/>
    <w:rsid w:val="008C5CF4"/>
    <w:rsid w:val="008C5F82"/>
    <w:rsid w:val="008C72FC"/>
    <w:rsid w:val="008C7849"/>
    <w:rsid w:val="008C7961"/>
    <w:rsid w:val="008D0D62"/>
    <w:rsid w:val="008D14BD"/>
    <w:rsid w:val="008D2A56"/>
    <w:rsid w:val="008D36E0"/>
    <w:rsid w:val="008D379E"/>
    <w:rsid w:val="008D3A64"/>
    <w:rsid w:val="008D3BDF"/>
    <w:rsid w:val="008D4E15"/>
    <w:rsid w:val="008D7F0E"/>
    <w:rsid w:val="008E0778"/>
    <w:rsid w:val="008E33F2"/>
    <w:rsid w:val="008E3B6B"/>
    <w:rsid w:val="008E3E2C"/>
    <w:rsid w:val="008E4624"/>
    <w:rsid w:val="008E5553"/>
    <w:rsid w:val="008E5A51"/>
    <w:rsid w:val="008E5D35"/>
    <w:rsid w:val="008E6C36"/>
    <w:rsid w:val="008F0196"/>
    <w:rsid w:val="008F3FF1"/>
    <w:rsid w:val="008F48C3"/>
    <w:rsid w:val="008F53B9"/>
    <w:rsid w:val="008F5E32"/>
    <w:rsid w:val="008F668C"/>
    <w:rsid w:val="008F7554"/>
    <w:rsid w:val="008F7B90"/>
    <w:rsid w:val="00900299"/>
    <w:rsid w:val="009008FD"/>
    <w:rsid w:val="00901A04"/>
    <w:rsid w:val="00904958"/>
    <w:rsid w:val="009051EC"/>
    <w:rsid w:val="00905754"/>
    <w:rsid w:val="00905C39"/>
    <w:rsid w:val="0090622F"/>
    <w:rsid w:val="009079E2"/>
    <w:rsid w:val="00907B04"/>
    <w:rsid w:val="009106BB"/>
    <w:rsid w:val="00910773"/>
    <w:rsid w:val="0091085A"/>
    <w:rsid w:val="00911B99"/>
    <w:rsid w:val="0091222D"/>
    <w:rsid w:val="0091322B"/>
    <w:rsid w:val="00914DCF"/>
    <w:rsid w:val="009154B2"/>
    <w:rsid w:val="00915D0B"/>
    <w:rsid w:val="00915F5C"/>
    <w:rsid w:val="00915FB1"/>
    <w:rsid w:val="009160E3"/>
    <w:rsid w:val="00916416"/>
    <w:rsid w:val="009174A3"/>
    <w:rsid w:val="009174AA"/>
    <w:rsid w:val="009203C7"/>
    <w:rsid w:val="00921372"/>
    <w:rsid w:val="009233DA"/>
    <w:rsid w:val="00923F20"/>
    <w:rsid w:val="0092505E"/>
    <w:rsid w:val="00927698"/>
    <w:rsid w:val="009279BE"/>
    <w:rsid w:val="00930D5E"/>
    <w:rsid w:val="0093107C"/>
    <w:rsid w:val="009314F9"/>
    <w:rsid w:val="00931E8D"/>
    <w:rsid w:val="00933687"/>
    <w:rsid w:val="00934EF5"/>
    <w:rsid w:val="00935E37"/>
    <w:rsid w:val="009364F4"/>
    <w:rsid w:val="00941702"/>
    <w:rsid w:val="00943150"/>
    <w:rsid w:val="00943840"/>
    <w:rsid w:val="009448A4"/>
    <w:rsid w:val="00944F9D"/>
    <w:rsid w:val="00945108"/>
    <w:rsid w:val="0094571E"/>
    <w:rsid w:val="00945AB5"/>
    <w:rsid w:val="009464FC"/>
    <w:rsid w:val="0094739B"/>
    <w:rsid w:val="009523F5"/>
    <w:rsid w:val="00952435"/>
    <w:rsid w:val="0095247C"/>
    <w:rsid w:val="009554EF"/>
    <w:rsid w:val="00956926"/>
    <w:rsid w:val="009574F7"/>
    <w:rsid w:val="00957872"/>
    <w:rsid w:val="009579B4"/>
    <w:rsid w:val="00960014"/>
    <w:rsid w:val="0096207C"/>
    <w:rsid w:val="00965573"/>
    <w:rsid w:val="00970282"/>
    <w:rsid w:val="00970A77"/>
    <w:rsid w:val="00970D32"/>
    <w:rsid w:val="00970D8F"/>
    <w:rsid w:val="00971633"/>
    <w:rsid w:val="00974B2C"/>
    <w:rsid w:val="00975004"/>
    <w:rsid w:val="009755CB"/>
    <w:rsid w:val="009771FF"/>
    <w:rsid w:val="00982052"/>
    <w:rsid w:val="00982336"/>
    <w:rsid w:val="00985AB7"/>
    <w:rsid w:val="00985B4B"/>
    <w:rsid w:val="00985C36"/>
    <w:rsid w:val="0098615C"/>
    <w:rsid w:val="00986556"/>
    <w:rsid w:val="00986E6D"/>
    <w:rsid w:val="00986E8F"/>
    <w:rsid w:val="00986EA0"/>
    <w:rsid w:val="009874FD"/>
    <w:rsid w:val="00987595"/>
    <w:rsid w:val="0099030A"/>
    <w:rsid w:val="00990689"/>
    <w:rsid w:val="009913D1"/>
    <w:rsid w:val="009928F7"/>
    <w:rsid w:val="00995643"/>
    <w:rsid w:val="00995F20"/>
    <w:rsid w:val="00995F39"/>
    <w:rsid w:val="00997449"/>
    <w:rsid w:val="009A0672"/>
    <w:rsid w:val="009A1C36"/>
    <w:rsid w:val="009A49D9"/>
    <w:rsid w:val="009A52C1"/>
    <w:rsid w:val="009A5B37"/>
    <w:rsid w:val="009A5CE3"/>
    <w:rsid w:val="009A60C7"/>
    <w:rsid w:val="009A6EBA"/>
    <w:rsid w:val="009A7376"/>
    <w:rsid w:val="009B230A"/>
    <w:rsid w:val="009B2EC8"/>
    <w:rsid w:val="009B3205"/>
    <w:rsid w:val="009B36B5"/>
    <w:rsid w:val="009B4E86"/>
    <w:rsid w:val="009B5E0A"/>
    <w:rsid w:val="009B6691"/>
    <w:rsid w:val="009B6890"/>
    <w:rsid w:val="009B6947"/>
    <w:rsid w:val="009B7A8E"/>
    <w:rsid w:val="009C12F6"/>
    <w:rsid w:val="009C39B0"/>
    <w:rsid w:val="009C4955"/>
    <w:rsid w:val="009C6861"/>
    <w:rsid w:val="009C7472"/>
    <w:rsid w:val="009C7F80"/>
    <w:rsid w:val="009D12E7"/>
    <w:rsid w:val="009D16C8"/>
    <w:rsid w:val="009D2790"/>
    <w:rsid w:val="009D2974"/>
    <w:rsid w:val="009D2B06"/>
    <w:rsid w:val="009D3800"/>
    <w:rsid w:val="009D4E90"/>
    <w:rsid w:val="009D7CC4"/>
    <w:rsid w:val="009E0899"/>
    <w:rsid w:val="009E0B5B"/>
    <w:rsid w:val="009E113D"/>
    <w:rsid w:val="009E2220"/>
    <w:rsid w:val="009E24A3"/>
    <w:rsid w:val="009E2A18"/>
    <w:rsid w:val="009E3EC0"/>
    <w:rsid w:val="009E3FBA"/>
    <w:rsid w:val="009E4781"/>
    <w:rsid w:val="009E5013"/>
    <w:rsid w:val="009E5F4F"/>
    <w:rsid w:val="009E6B23"/>
    <w:rsid w:val="009E6FA9"/>
    <w:rsid w:val="009E7F8C"/>
    <w:rsid w:val="009F02D4"/>
    <w:rsid w:val="009F0B88"/>
    <w:rsid w:val="009F1C18"/>
    <w:rsid w:val="009F2BE4"/>
    <w:rsid w:val="009F2FDD"/>
    <w:rsid w:val="009F344F"/>
    <w:rsid w:val="009F50AF"/>
    <w:rsid w:val="009F6013"/>
    <w:rsid w:val="00A0060A"/>
    <w:rsid w:val="00A016F8"/>
    <w:rsid w:val="00A01FBB"/>
    <w:rsid w:val="00A031F4"/>
    <w:rsid w:val="00A059BE"/>
    <w:rsid w:val="00A05D74"/>
    <w:rsid w:val="00A05E42"/>
    <w:rsid w:val="00A06D55"/>
    <w:rsid w:val="00A06EAB"/>
    <w:rsid w:val="00A07651"/>
    <w:rsid w:val="00A07D1D"/>
    <w:rsid w:val="00A127B9"/>
    <w:rsid w:val="00A12B18"/>
    <w:rsid w:val="00A14564"/>
    <w:rsid w:val="00A1701E"/>
    <w:rsid w:val="00A209DE"/>
    <w:rsid w:val="00A20D58"/>
    <w:rsid w:val="00A20E26"/>
    <w:rsid w:val="00A2205D"/>
    <w:rsid w:val="00A22201"/>
    <w:rsid w:val="00A2275E"/>
    <w:rsid w:val="00A233EA"/>
    <w:rsid w:val="00A240D5"/>
    <w:rsid w:val="00A24200"/>
    <w:rsid w:val="00A2451E"/>
    <w:rsid w:val="00A24D9A"/>
    <w:rsid w:val="00A270A4"/>
    <w:rsid w:val="00A2787A"/>
    <w:rsid w:val="00A30B8F"/>
    <w:rsid w:val="00A32C2B"/>
    <w:rsid w:val="00A34644"/>
    <w:rsid w:val="00A35416"/>
    <w:rsid w:val="00A40D30"/>
    <w:rsid w:val="00A4119E"/>
    <w:rsid w:val="00A41C99"/>
    <w:rsid w:val="00A43326"/>
    <w:rsid w:val="00A4549B"/>
    <w:rsid w:val="00A4649B"/>
    <w:rsid w:val="00A46661"/>
    <w:rsid w:val="00A472E6"/>
    <w:rsid w:val="00A50D8D"/>
    <w:rsid w:val="00A5102F"/>
    <w:rsid w:val="00A530D0"/>
    <w:rsid w:val="00A53BAA"/>
    <w:rsid w:val="00A540FE"/>
    <w:rsid w:val="00A5566C"/>
    <w:rsid w:val="00A55859"/>
    <w:rsid w:val="00A55CC4"/>
    <w:rsid w:val="00A568D8"/>
    <w:rsid w:val="00A575E8"/>
    <w:rsid w:val="00A609B5"/>
    <w:rsid w:val="00A6393A"/>
    <w:rsid w:val="00A64881"/>
    <w:rsid w:val="00A70961"/>
    <w:rsid w:val="00A70A74"/>
    <w:rsid w:val="00A70EEB"/>
    <w:rsid w:val="00A70F80"/>
    <w:rsid w:val="00A71540"/>
    <w:rsid w:val="00A71B86"/>
    <w:rsid w:val="00A7561E"/>
    <w:rsid w:val="00A763CC"/>
    <w:rsid w:val="00A76E6E"/>
    <w:rsid w:val="00A77A67"/>
    <w:rsid w:val="00A77FA6"/>
    <w:rsid w:val="00A80713"/>
    <w:rsid w:val="00A8086A"/>
    <w:rsid w:val="00A81706"/>
    <w:rsid w:val="00A81AEA"/>
    <w:rsid w:val="00A82366"/>
    <w:rsid w:val="00A845EA"/>
    <w:rsid w:val="00A8526E"/>
    <w:rsid w:val="00A85985"/>
    <w:rsid w:val="00A86613"/>
    <w:rsid w:val="00A876C6"/>
    <w:rsid w:val="00A877AE"/>
    <w:rsid w:val="00A90036"/>
    <w:rsid w:val="00A907DE"/>
    <w:rsid w:val="00A912FE"/>
    <w:rsid w:val="00A937A9"/>
    <w:rsid w:val="00A93D09"/>
    <w:rsid w:val="00A95090"/>
    <w:rsid w:val="00A9538F"/>
    <w:rsid w:val="00A95CEE"/>
    <w:rsid w:val="00A96E44"/>
    <w:rsid w:val="00A9799E"/>
    <w:rsid w:val="00AA04FA"/>
    <w:rsid w:val="00AA0547"/>
    <w:rsid w:val="00AA0B50"/>
    <w:rsid w:val="00AA0F24"/>
    <w:rsid w:val="00AA1E68"/>
    <w:rsid w:val="00AA3BD1"/>
    <w:rsid w:val="00AA4EC6"/>
    <w:rsid w:val="00AA5716"/>
    <w:rsid w:val="00AA6A5C"/>
    <w:rsid w:val="00AA6D51"/>
    <w:rsid w:val="00AA7492"/>
    <w:rsid w:val="00AA7515"/>
    <w:rsid w:val="00AA77F2"/>
    <w:rsid w:val="00AA7D41"/>
    <w:rsid w:val="00AB2FCF"/>
    <w:rsid w:val="00AB46A9"/>
    <w:rsid w:val="00AB4BA1"/>
    <w:rsid w:val="00AB583E"/>
    <w:rsid w:val="00AB6374"/>
    <w:rsid w:val="00AB6810"/>
    <w:rsid w:val="00AB7B9C"/>
    <w:rsid w:val="00AB7F6C"/>
    <w:rsid w:val="00AB7FC9"/>
    <w:rsid w:val="00AC300C"/>
    <w:rsid w:val="00AC3CDA"/>
    <w:rsid w:val="00AC401D"/>
    <w:rsid w:val="00AC4158"/>
    <w:rsid w:val="00AC481C"/>
    <w:rsid w:val="00AC4A53"/>
    <w:rsid w:val="00AC5BD9"/>
    <w:rsid w:val="00AC676F"/>
    <w:rsid w:val="00AC7236"/>
    <w:rsid w:val="00AC7ADB"/>
    <w:rsid w:val="00AD0D0A"/>
    <w:rsid w:val="00AD0ECF"/>
    <w:rsid w:val="00AD0F60"/>
    <w:rsid w:val="00AD2496"/>
    <w:rsid w:val="00AD2519"/>
    <w:rsid w:val="00AD2970"/>
    <w:rsid w:val="00AD369C"/>
    <w:rsid w:val="00AD3916"/>
    <w:rsid w:val="00AD49D4"/>
    <w:rsid w:val="00AD4D9E"/>
    <w:rsid w:val="00AD7BF1"/>
    <w:rsid w:val="00AE0C2B"/>
    <w:rsid w:val="00AE1C59"/>
    <w:rsid w:val="00AE2FED"/>
    <w:rsid w:val="00AE3DE2"/>
    <w:rsid w:val="00AE3E20"/>
    <w:rsid w:val="00AE3F98"/>
    <w:rsid w:val="00AE4AF6"/>
    <w:rsid w:val="00AE4F2A"/>
    <w:rsid w:val="00AE5BF9"/>
    <w:rsid w:val="00AE5DA0"/>
    <w:rsid w:val="00AE5E77"/>
    <w:rsid w:val="00AE7480"/>
    <w:rsid w:val="00AE78C6"/>
    <w:rsid w:val="00AF0408"/>
    <w:rsid w:val="00AF24C9"/>
    <w:rsid w:val="00AF3BE4"/>
    <w:rsid w:val="00AF3C52"/>
    <w:rsid w:val="00AF4C5B"/>
    <w:rsid w:val="00AF4C93"/>
    <w:rsid w:val="00AF5069"/>
    <w:rsid w:val="00AF5082"/>
    <w:rsid w:val="00AF5460"/>
    <w:rsid w:val="00AF66BD"/>
    <w:rsid w:val="00B01039"/>
    <w:rsid w:val="00B01329"/>
    <w:rsid w:val="00B0259B"/>
    <w:rsid w:val="00B03D24"/>
    <w:rsid w:val="00B045AC"/>
    <w:rsid w:val="00B07B7D"/>
    <w:rsid w:val="00B07DDE"/>
    <w:rsid w:val="00B110CB"/>
    <w:rsid w:val="00B1191B"/>
    <w:rsid w:val="00B122A6"/>
    <w:rsid w:val="00B127C5"/>
    <w:rsid w:val="00B13763"/>
    <w:rsid w:val="00B13B3D"/>
    <w:rsid w:val="00B14623"/>
    <w:rsid w:val="00B14DE1"/>
    <w:rsid w:val="00B170B6"/>
    <w:rsid w:val="00B20869"/>
    <w:rsid w:val="00B21332"/>
    <w:rsid w:val="00B23B08"/>
    <w:rsid w:val="00B25429"/>
    <w:rsid w:val="00B26542"/>
    <w:rsid w:val="00B2713D"/>
    <w:rsid w:val="00B3006F"/>
    <w:rsid w:val="00B3038F"/>
    <w:rsid w:val="00B31289"/>
    <w:rsid w:val="00B31991"/>
    <w:rsid w:val="00B31EA6"/>
    <w:rsid w:val="00B32C7C"/>
    <w:rsid w:val="00B34789"/>
    <w:rsid w:val="00B34AFD"/>
    <w:rsid w:val="00B3557D"/>
    <w:rsid w:val="00B356B5"/>
    <w:rsid w:val="00B3591D"/>
    <w:rsid w:val="00B37502"/>
    <w:rsid w:val="00B40008"/>
    <w:rsid w:val="00B431D9"/>
    <w:rsid w:val="00B43B82"/>
    <w:rsid w:val="00B44B0D"/>
    <w:rsid w:val="00B44CD6"/>
    <w:rsid w:val="00B46D43"/>
    <w:rsid w:val="00B47E75"/>
    <w:rsid w:val="00B504B4"/>
    <w:rsid w:val="00B50A80"/>
    <w:rsid w:val="00B50D82"/>
    <w:rsid w:val="00B5124B"/>
    <w:rsid w:val="00B51AFE"/>
    <w:rsid w:val="00B52172"/>
    <w:rsid w:val="00B52A70"/>
    <w:rsid w:val="00B5377B"/>
    <w:rsid w:val="00B54979"/>
    <w:rsid w:val="00B560F6"/>
    <w:rsid w:val="00B6012A"/>
    <w:rsid w:val="00B60592"/>
    <w:rsid w:val="00B608EB"/>
    <w:rsid w:val="00B637CE"/>
    <w:rsid w:val="00B6485E"/>
    <w:rsid w:val="00B64AC6"/>
    <w:rsid w:val="00B651F7"/>
    <w:rsid w:val="00B658EA"/>
    <w:rsid w:val="00B65C63"/>
    <w:rsid w:val="00B66664"/>
    <w:rsid w:val="00B66891"/>
    <w:rsid w:val="00B66A35"/>
    <w:rsid w:val="00B67665"/>
    <w:rsid w:val="00B67826"/>
    <w:rsid w:val="00B67D08"/>
    <w:rsid w:val="00B702EA"/>
    <w:rsid w:val="00B71347"/>
    <w:rsid w:val="00B72A7B"/>
    <w:rsid w:val="00B72DA2"/>
    <w:rsid w:val="00B73289"/>
    <w:rsid w:val="00B73713"/>
    <w:rsid w:val="00B73851"/>
    <w:rsid w:val="00B74ECD"/>
    <w:rsid w:val="00B774AF"/>
    <w:rsid w:val="00B77674"/>
    <w:rsid w:val="00B8036D"/>
    <w:rsid w:val="00B807CD"/>
    <w:rsid w:val="00B80C96"/>
    <w:rsid w:val="00B8170B"/>
    <w:rsid w:val="00B82DA5"/>
    <w:rsid w:val="00B82FE3"/>
    <w:rsid w:val="00B84296"/>
    <w:rsid w:val="00B84FB0"/>
    <w:rsid w:val="00B858C0"/>
    <w:rsid w:val="00B860F2"/>
    <w:rsid w:val="00B87399"/>
    <w:rsid w:val="00B91A0A"/>
    <w:rsid w:val="00B9210A"/>
    <w:rsid w:val="00B924B3"/>
    <w:rsid w:val="00B931A0"/>
    <w:rsid w:val="00B93E3D"/>
    <w:rsid w:val="00B94A88"/>
    <w:rsid w:val="00B94C50"/>
    <w:rsid w:val="00B94ED9"/>
    <w:rsid w:val="00B977E1"/>
    <w:rsid w:val="00B97F6B"/>
    <w:rsid w:val="00BA4A08"/>
    <w:rsid w:val="00BA4C24"/>
    <w:rsid w:val="00BA4F11"/>
    <w:rsid w:val="00BA58D1"/>
    <w:rsid w:val="00BA5AB6"/>
    <w:rsid w:val="00BA6241"/>
    <w:rsid w:val="00BA6481"/>
    <w:rsid w:val="00BA6CC1"/>
    <w:rsid w:val="00BB0C57"/>
    <w:rsid w:val="00BB1337"/>
    <w:rsid w:val="00BB1380"/>
    <w:rsid w:val="00BB191D"/>
    <w:rsid w:val="00BB49E0"/>
    <w:rsid w:val="00BB4C35"/>
    <w:rsid w:val="00BB4E58"/>
    <w:rsid w:val="00BB5385"/>
    <w:rsid w:val="00BB61C6"/>
    <w:rsid w:val="00BB658D"/>
    <w:rsid w:val="00BC0032"/>
    <w:rsid w:val="00BC0718"/>
    <w:rsid w:val="00BC1AA7"/>
    <w:rsid w:val="00BC28E8"/>
    <w:rsid w:val="00BC2EA8"/>
    <w:rsid w:val="00BC34FA"/>
    <w:rsid w:val="00BC37E7"/>
    <w:rsid w:val="00BC4C8D"/>
    <w:rsid w:val="00BC625C"/>
    <w:rsid w:val="00BC66CB"/>
    <w:rsid w:val="00BD010B"/>
    <w:rsid w:val="00BD061B"/>
    <w:rsid w:val="00BD0B98"/>
    <w:rsid w:val="00BD145C"/>
    <w:rsid w:val="00BD146A"/>
    <w:rsid w:val="00BD2821"/>
    <w:rsid w:val="00BD4233"/>
    <w:rsid w:val="00BD4428"/>
    <w:rsid w:val="00BD4754"/>
    <w:rsid w:val="00BD4C81"/>
    <w:rsid w:val="00BD4D1B"/>
    <w:rsid w:val="00BD66A8"/>
    <w:rsid w:val="00BE012F"/>
    <w:rsid w:val="00BE02A2"/>
    <w:rsid w:val="00BE03DE"/>
    <w:rsid w:val="00BE16B8"/>
    <w:rsid w:val="00BE17A7"/>
    <w:rsid w:val="00BE2038"/>
    <w:rsid w:val="00BE326A"/>
    <w:rsid w:val="00BE4160"/>
    <w:rsid w:val="00BE515D"/>
    <w:rsid w:val="00BE5F90"/>
    <w:rsid w:val="00BE61C3"/>
    <w:rsid w:val="00BE6F64"/>
    <w:rsid w:val="00BF01C1"/>
    <w:rsid w:val="00BF09CC"/>
    <w:rsid w:val="00BF12A6"/>
    <w:rsid w:val="00BF22C7"/>
    <w:rsid w:val="00BF2743"/>
    <w:rsid w:val="00BF2CE3"/>
    <w:rsid w:val="00BF3CDC"/>
    <w:rsid w:val="00BF3D68"/>
    <w:rsid w:val="00BF4D2C"/>
    <w:rsid w:val="00BF50D0"/>
    <w:rsid w:val="00BF5DFD"/>
    <w:rsid w:val="00BF60F6"/>
    <w:rsid w:val="00BF6172"/>
    <w:rsid w:val="00BF65BC"/>
    <w:rsid w:val="00BF690A"/>
    <w:rsid w:val="00BF79F5"/>
    <w:rsid w:val="00C0010F"/>
    <w:rsid w:val="00C001BD"/>
    <w:rsid w:val="00C009DF"/>
    <w:rsid w:val="00C00C15"/>
    <w:rsid w:val="00C0105F"/>
    <w:rsid w:val="00C03A61"/>
    <w:rsid w:val="00C0535B"/>
    <w:rsid w:val="00C054F2"/>
    <w:rsid w:val="00C05CEC"/>
    <w:rsid w:val="00C05EAE"/>
    <w:rsid w:val="00C06BD0"/>
    <w:rsid w:val="00C079C3"/>
    <w:rsid w:val="00C10803"/>
    <w:rsid w:val="00C11666"/>
    <w:rsid w:val="00C12976"/>
    <w:rsid w:val="00C1357C"/>
    <w:rsid w:val="00C139E6"/>
    <w:rsid w:val="00C1660A"/>
    <w:rsid w:val="00C16808"/>
    <w:rsid w:val="00C17668"/>
    <w:rsid w:val="00C176C6"/>
    <w:rsid w:val="00C17DA2"/>
    <w:rsid w:val="00C20742"/>
    <w:rsid w:val="00C22D6B"/>
    <w:rsid w:val="00C23BD7"/>
    <w:rsid w:val="00C262E3"/>
    <w:rsid w:val="00C268C0"/>
    <w:rsid w:val="00C31E21"/>
    <w:rsid w:val="00C32149"/>
    <w:rsid w:val="00C32156"/>
    <w:rsid w:val="00C325BF"/>
    <w:rsid w:val="00C32748"/>
    <w:rsid w:val="00C3519F"/>
    <w:rsid w:val="00C351B1"/>
    <w:rsid w:val="00C357B7"/>
    <w:rsid w:val="00C358A0"/>
    <w:rsid w:val="00C36813"/>
    <w:rsid w:val="00C36D97"/>
    <w:rsid w:val="00C40A03"/>
    <w:rsid w:val="00C40BED"/>
    <w:rsid w:val="00C41C0C"/>
    <w:rsid w:val="00C42BBB"/>
    <w:rsid w:val="00C435BC"/>
    <w:rsid w:val="00C4430C"/>
    <w:rsid w:val="00C44A38"/>
    <w:rsid w:val="00C451A5"/>
    <w:rsid w:val="00C4666D"/>
    <w:rsid w:val="00C470D3"/>
    <w:rsid w:val="00C4736E"/>
    <w:rsid w:val="00C4786E"/>
    <w:rsid w:val="00C50265"/>
    <w:rsid w:val="00C50498"/>
    <w:rsid w:val="00C51595"/>
    <w:rsid w:val="00C52119"/>
    <w:rsid w:val="00C521A0"/>
    <w:rsid w:val="00C53AF2"/>
    <w:rsid w:val="00C54304"/>
    <w:rsid w:val="00C546C7"/>
    <w:rsid w:val="00C54980"/>
    <w:rsid w:val="00C54EE0"/>
    <w:rsid w:val="00C557E7"/>
    <w:rsid w:val="00C56672"/>
    <w:rsid w:val="00C607BB"/>
    <w:rsid w:val="00C60FD4"/>
    <w:rsid w:val="00C61409"/>
    <w:rsid w:val="00C6188D"/>
    <w:rsid w:val="00C624F5"/>
    <w:rsid w:val="00C626A6"/>
    <w:rsid w:val="00C63214"/>
    <w:rsid w:val="00C63E24"/>
    <w:rsid w:val="00C6543C"/>
    <w:rsid w:val="00C6612E"/>
    <w:rsid w:val="00C66616"/>
    <w:rsid w:val="00C66FD5"/>
    <w:rsid w:val="00C70C1D"/>
    <w:rsid w:val="00C71F43"/>
    <w:rsid w:val="00C72116"/>
    <w:rsid w:val="00C73D02"/>
    <w:rsid w:val="00C75D7A"/>
    <w:rsid w:val="00C76263"/>
    <w:rsid w:val="00C76A1E"/>
    <w:rsid w:val="00C77407"/>
    <w:rsid w:val="00C77EDB"/>
    <w:rsid w:val="00C821A2"/>
    <w:rsid w:val="00C82F02"/>
    <w:rsid w:val="00C83260"/>
    <w:rsid w:val="00C83666"/>
    <w:rsid w:val="00C8367B"/>
    <w:rsid w:val="00C844EA"/>
    <w:rsid w:val="00C853D1"/>
    <w:rsid w:val="00C854C5"/>
    <w:rsid w:val="00C86CEA"/>
    <w:rsid w:val="00C86D33"/>
    <w:rsid w:val="00C8706F"/>
    <w:rsid w:val="00C87969"/>
    <w:rsid w:val="00C87FC9"/>
    <w:rsid w:val="00C9015A"/>
    <w:rsid w:val="00C9140D"/>
    <w:rsid w:val="00C924C4"/>
    <w:rsid w:val="00C92F92"/>
    <w:rsid w:val="00C95739"/>
    <w:rsid w:val="00C9741B"/>
    <w:rsid w:val="00C97882"/>
    <w:rsid w:val="00CA10CB"/>
    <w:rsid w:val="00CA2B5F"/>
    <w:rsid w:val="00CA34C2"/>
    <w:rsid w:val="00CA4D1B"/>
    <w:rsid w:val="00CB05A8"/>
    <w:rsid w:val="00CB0F85"/>
    <w:rsid w:val="00CB1C97"/>
    <w:rsid w:val="00CB23C6"/>
    <w:rsid w:val="00CB32A7"/>
    <w:rsid w:val="00CB34DC"/>
    <w:rsid w:val="00CB416E"/>
    <w:rsid w:val="00CB4BFB"/>
    <w:rsid w:val="00CB5462"/>
    <w:rsid w:val="00CB613C"/>
    <w:rsid w:val="00CB6C91"/>
    <w:rsid w:val="00CB733A"/>
    <w:rsid w:val="00CC0056"/>
    <w:rsid w:val="00CC0AF7"/>
    <w:rsid w:val="00CC297B"/>
    <w:rsid w:val="00CC3106"/>
    <w:rsid w:val="00CC3933"/>
    <w:rsid w:val="00CC5683"/>
    <w:rsid w:val="00CC5864"/>
    <w:rsid w:val="00CC5D43"/>
    <w:rsid w:val="00CC5EA9"/>
    <w:rsid w:val="00CC62B4"/>
    <w:rsid w:val="00CC7D16"/>
    <w:rsid w:val="00CD0320"/>
    <w:rsid w:val="00CD067C"/>
    <w:rsid w:val="00CD226E"/>
    <w:rsid w:val="00CD2751"/>
    <w:rsid w:val="00CD4BBB"/>
    <w:rsid w:val="00CD59DC"/>
    <w:rsid w:val="00CD5A32"/>
    <w:rsid w:val="00CD5E6E"/>
    <w:rsid w:val="00CD6CC8"/>
    <w:rsid w:val="00CE1378"/>
    <w:rsid w:val="00CE5D75"/>
    <w:rsid w:val="00CE6B0E"/>
    <w:rsid w:val="00CE6C13"/>
    <w:rsid w:val="00CE7580"/>
    <w:rsid w:val="00CF0CB7"/>
    <w:rsid w:val="00CF11B1"/>
    <w:rsid w:val="00CF1CD7"/>
    <w:rsid w:val="00CF1F3C"/>
    <w:rsid w:val="00CF3022"/>
    <w:rsid w:val="00CF3A72"/>
    <w:rsid w:val="00CF3E06"/>
    <w:rsid w:val="00CF44BF"/>
    <w:rsid w:val="00CF4CCF"/>
    <w:rsid w:val="00CF54EA"/>
    <w:rsid w:val="00CF5729"/>
    <w:rsid w:val="00CF60CB"/>
    <w:rsid w:val="00CF6F87"/>
    <w:rsid w:val="00CF74A3"/>
    <w:rsid w:val="00CF77F4"/>
    <w:rsid w:val="00D004D7"/>
    <w:rsid w:val="00D01961"/>
    <w:rsid w:val="00D02A10"/>
    <w:rsid w:val="00D02CCB"/>
    <w:rsid w:val="00D02E1D"/>
    <w:rsid w:val="00D039DB"/>
    <w:rsid w:val="00D03B82"/>
    <w:rsid w:val="00D04130"/>
    <w:rsid w:val="00D04779"/>
    <w:rsid w:val="00D05E41"/>
    <w:rsid w:val="00D06240"/>
    <w:rsid w:val="00D063AD"/>
    <w:rsid w:val="00D076E0"/>
    <w:rsid w:val="00D104E5"/>
    <w:rsid w:val="00D10D8E"/>
    <w:rsid w:val="00D11345"/>
    <w:rsid w:val="00D12109"/>
    <w:rsid w:val="00D146F7"/>
    <w:rsid w:val="00D15503"/>
    <w:rsid w:val="00D200E2"/>
    <w:rsid w:val="00D2073E"/>
    <w:rsid w:val="00D20A41"/>
    <w:rsid w:val="00D213D2"/>
    <w:rsid w:val="00D2166A"/>
    <w:rsid w:val="00D22934"/>
    <w:rsid w:val="00D22CFE"/>
    <w:rsid w:val="00D24200"/>
    <w:rsid w:val="00D24588"/>
    <w:rsid w:val="00D252F3"/>
    <w:rsid w:val="00D25950"/>
    <w:rsid w:val="00D25F70"/>
    <w:rsid w:val="00D26155"/>
    <w:rsid w:val="00D262B5"/>
    <w:rsid w:val="00D27D54"/>
    <w:rsid w:val="00D31102"/>
    <w:rsid w:val="00D31697"/>
    <w:rsid w:val="00D31F21"/>
    <w:rsid w:val="00D3398F"/>
    <w:rsid w:val="00D33EEB"/>
    <w:rsid w:val="00D34331"/>
    <w:rsid w:val="00D34C7A"/>
    <w:rsid w:val="00D35CF5"/>
    <w:rsid w:val="00D36384"/>
    <w:rsid w:val="00D404A4"/>
    <w:rsid w:val="00D40FC9"/>
    <w:rsid w:val="00D41323"/>
    <w:rsid w:val="00D4199E"/>
    <w:rsid w:val="00D42C4A"/>
    <w:rsid w:val="00D43834"/>
    <w:rsid w:val="00D446C4"/>
    <w:rsid w:val="00D455B6"/>
    <w:rsid w:val="00D45681"/>
    <w:rsid w:val="00D5116F"/>
    <w:rsid w:val="00D51E86"/>
    <w:rsid w:val="00D525FB"/>
    <w:rsid w:val="00D52D47"/>
    <w:rsid w:val="00D53BA0"/>
    <w:rsid w:val="00D543B4"/>
    <w:rsid w:val="00D548E3"/>
    <w:rsid w:val="00D550A3"/>
    <w:rsid w:val="00D5669F"/>
    <w:rsid w:val="00D621C5"/>
    <w:rsid w:val="00D62DBA"/>
    <w:rsid w:val="00D634C7"/>
    <w:rsid w:val="00D6369D"/>
    <w:rsid w:val="00D63962"/>
    <w:rsid w:val="00D67578"/>
    <w:rsid w:val="00D72278"/>
    <w:rsid w:val="00D72534"/>
    <w:rsid w:val="00D73035"/>
    <w:rsid w:val="00D80600"/>
    <w:rsid w:val="00D819B4"/>
    <w:rsid w:val="00D827CE"/>
    <w:rsid w:val="00D8323A"/>
    <w:rsid w:val="00D838D5"/>
    <w:rsid w:val="00D8598C"/>
    <w:rsid w:val="00D9008B"/>
    <w:rsid w:val="00D90DD8"/>
    <w:rsid w:val="00D923BC"/>
    <w:rsid w:val="00D93028"/>
    <w:rsid w:val="00D939B9"/>
    <w:rsid w:val="00D95743"/>
    <w:rsid w:val="00D95EB3"/>
    <w:rsid w:val="00D97BF2"/>
    <w:rsid w:val="00D97DC0"/>
    <w:rsid w:val="00DA0E9B"/>
    <w:rsid w:val="00DA13B0"/>
    <w:rsid w:val="00DA2543"/>
    <w:rsid w:val="00DA274C"/>
    <w:rsid w:val="00DA2931"/>
    <w:rsid w:val="00DA30C4"/>
    <w:rsid w:val="00DA404E"/>
    <w:rsid w:val="00DA6071"/>
    <w:rsid w:val="00DA7578"/>
    <w:rsid w:val="00DA785F"/>
    <w:rsid w:val="00DB1E3A"/>
    <w:rsid w:val="00DB1F44"/>
    <w:rsid w:val="00DB22CC"/>
    <w:rsid w:val="00DB25FE"/>
    <w:rsid w:val="00DB294C"/>
    <w:rsid w:val="00DB3E26"/>
    <w:rsid w:val="00DB4010"/>
    <w:rsid w:val="00DB4721"/>
    <w:rsid w:val="00DB4DA3"/>
    <w:rsid w:val="00DB5BF0"/>
    <w:rsid w:val="00DB66BA"/>
    <w:rsid w:val="00DC0911"/>
    <w:rsid w:val="00DC1DE0"/>
    <w:rsid w:val="00DC2E30"/>
    <w:rsid w:val="00DC3361"/>
    <w:rsid w:val="00DC4E8A"/>
    <w:rsid w:val="00DC514E"/>
    <w:rsid w:val="00DC6022"/>
    <w:rsid w:val="00DC7617"/>
    <w:rsid w:val="00DD0A40"/>
    <w:rsid w:val="00DD0C9A"/>
    <w:rsid w:val="00DD1F95"/>
    <w:rsid w:val="00DD22AC"/>
    <w:rsid w:val="00DD32D1"/>
    <w:rsid w:val="00DD43E7"/>
    <w:rsid w:val="00DD4F4D"/>
    <w:rsid w:val="00DD5784"/>
    <w:rsid w:val="00DD6FFC"/>
    <w:rsid w:val="00DD73D4"/>
    <w:rsid w:val="00DE02A1"/>
    <w:rsid w:val="00DE1219"/>
    <w:rsid w:val="00DE137B"/>
    <w:rsid w:val="00DE1529"/>
    <w:rsid w:val="00DE15AB"/>
    <w:rsid w:val="00DE189A"/>
    <w:rsid w:val="00DE35DD"/>
    <w:rsid w:val="00DE3AD0"/>
    <w:rsid w:val="00DE3AE9"/>
    <w:rsid w:val="00DE471A"/>
    <w:rsid w:val="00DE4EC0"/>
    <w:rsid w:val="00DE618D"/>
    <w:rsid w:val="00DF1AD4"/>
    <w:rsid w:val="00DF255E"/>
    <w:rsid w:val="00DF2C14"/>
    <w:rsid w:val="00DF3954"/>
    <w:rsid w:val="00DF3D39"/>
    <w:rsid w:val="00DF3EAC"/>
    <w:rsid w:val="00DF4B0B"/>
    <w:rsid w:val="00DF4CBD"/>
    <w:rsid w:val="00DF64C2"/>
    <w:rsid w:val="00DF6522"/>
    <w:rsid w:val="00DF6733"/>
    <w:rsid w:val="00DF68F4"/>
    <w:rsid w:val="00DF757E"/>
    <w:rsid w:val="00E0013A"/>
    <w:rsid w:val="00E00A05"/>
    <w:rsid w:val="00E01E94"/>
    <w:rsid w:val="00E024DC"/>
    <w:rsid w:val="00E026D8"/>
    <w:rsid w:val="00E02B1A"/>
    <w:rsid w:val="00E03596"/>
    <w:rsid w:val="00E037F2"/>
    <w:rsid w:val="00E041D2"/>
    <w:rsid w:val="00E0579A"/>
    <w:rsid w:val="00E0681C"/>
    <w:rsid w:val="00E0690A"/>
    <w:rsid w:val="00E10E38"/>
    <w:rsid w:val="00E11029"/>
    <w:rsid w:val="00E1137C"/>
    <w:rsid w:val="00E12079"/>
    <w:rsid w:val="00E1356F"/>
    <w:rsid w:val="00E141BA"/>
    <w:rsid w:val="00E15AB6"/>
    <w:rsid w:val="00E17817"/>
    <w:rsid w:val="00E20C1E"/>
    <w:rsid w:val="00E20E95"/>
    <w:rsid w:val="00E21F1F"/>
    <w:rsid w:val="00E22E8B"/>
    <w:rsid w:val="00E22F4D"/>
    <w:rsid w:val="00E2553C"/>
    <w:rsid w:val="00E258DF"/>
    <w:rsid w:val="00E25BEA"/>
    <w:rsid w:val="00E26982"/>
    <w:rsid w:val="00E3039E"/>
    <w:rsid w:val="00E3096D"/>
    <w:rsid w:val="00E30E49"/>
    <w:rsid w:val="00E33061"/>
    <w:rsid w:val="00E34400"/>
    <w:rsid w:val="00E3496A"/>
    <w:rsid w:val="00E34985"/>
    <w:rsid w:val="00E34D2E"/>
    <w:rsid w:val="00E357F1"/>
    <w:rsid w:val="00E3624D"/>
    <w:rsid w:val="00E3682D"/>
    <w:rsid w:val="00E40083"/>
    <w:rsid w:val="00E41A6D"/>
    <w:rsid w:val="00E420A8"/>
    <w:rsid w:val="00E42641"/>
    <w:rsid w:val="00E44066"/>
    <w:rsid w:val="00E44F49"/>
    <w:rsid w:val="00E45A70"/>
    <w:rsid w:val="00E46DD2"/>
    <w:rsid w:val="00E52A27"/>
    <w:rsid w:val="00E5308C"/>
    <w:rsid w:val="00E537CF"/>
    <w:rsid w:val="00E544A7"/>
    <w:rsid w:val="00E54972"/>
    <w:rsid w:val="00E552F8"/>
    <w:rsid w:val="00E55BF4"/>
    <w:rsid w:val="00E56313"/>
    <w:rsid w:val="00E575E3"/>
    <w:rsid w:val="00E57717"/>
    <w:rsid w:val="00E606EB"/>
    <w:rsid w:val="00E62F2A"/>
    <w:rsid w:val="00E64459"/>
    <w:rsid w:val="00E656A1"/>
    <w:rsid w:val="00E65C70"/>
    <w:rsid w:val="00E665FA"/>
    <w:rsid w:val="00E66635"/>
    <w:rsid w:val="00E66DAD"/>
    <w:rsid w:val="00E675CA"/>
    <w:rsid w:val="00E70A2D"/>
    <w:rsid w:val="00E7166A"/>
    <w:rsid w:val="00E72AAB"/>
    <w:rsid w:val="00E72B27"/>
    <w:rsid w:val="00E72F4C"/>
    <w:rsid w:val="00E7302E"/>
    <w:rsid w:val="00E75051"/>
    <w:rsid w:val="00E75289"/>
    <w:rsid w:val="00E75601"/>
    <w:rsid w:val="00E76D16"/>
    <w:rsid w:val="00E77732"/>
    <w:rsid w:val="00E80D53"/>
    <w:rsid w:val="00E823D8"/>
    <w:rsid w:val="00E82D15"/>
    <w:rsid w:val="00E83E52"/>
    <w:rsid w:val="00E8403B"/>
    <w:rsid w:val="00E84A92"/>
    <w:rsid w:val="00E8712B"/>
    <w:rsid w:val="00E87B2F"/>
    <w:rsid w:val="00E9122D"/>
    <w:rsid w:val="00E94425"/>
    <w:rsid w:val="00EA2421"/>
    <w:rsid w:val="00EA2944"/>
    <w:rsid w:val="00EA295B"/>
    <w:rsid w:val="00EA2AEF"/>
    <w:rsid w:val="00EA32E5"/>
    <w:rsid w:val="00EA3486"/>
    <w:rsid w:val="00EA3E08"/>
    <w:rsid w:val="00EA48B8"/>
    <w:rsid w:val="00EA58D5"/>
    <w:rsid w:val="00EA5F24"/>
    <w:rsid w:val="00EA5FFF"/>
    <w:rsid w:val="00EA6E3C"/>
    <w:rsid w:val="00EA7239"/>
    <w:rsid w:val="00EA752A"/>
    <w:rsid w:val="00EB2B8E"/>
    <w:rsid w:val="00EB3211"/>
    <w:rsid w:val="00EB4454"/>
    <w:rsid w:val="00EB4FFD"/>
    <w:rsid w:val="00EB56DA"/>
    <w:rsid w:val="00EB57C3"/>
    <w:rsid w:val="00EB62E7"/>
    <w:rsid w:val="00EB66E2"/>
    <w:rsid w:val="00EB712E"/>
    <w:rsid w:val="00EC0278"/>
    <w:rsid w:val="00EC0ED6"/>
    <w:rsid w:val="00EC1327"/>
    <w:rsid w:val="00EC1556"/>
    <w:rsid w:val="00EC194A"/>
    <w:rsid w:val="00EC1D50"/>
    <w:rsid w:val="00EC3B3F"/>
    <w:rsid w:val="00EC3EB1"/>
    <w:rsid w:val="00EC49B8"/>
    <w:rsid w:val="00EC4A91"/>
    <w:rsid w:val="00EC5DB0"/>
    <w:rsid w:val="00EC6DF9"/>
    <w:rsid w:val="00ED0012"/>
    <w:rsid w:val="00ED13EA"/>
    <w:rsid w:val="00ED1A6F"/>
    <w:rsid w:val="00ED2359"/>
    <w:rsid w:val="00ED4545"/>
    <w:rsid w:val="00ED48DC"/>
    <w:rsid w:val="00ED5B88"/>
    <w:rsid w:val="00ED7563"/>
    <w:rsid w:val="00EE1121"/>
    <w:rsid w:val="00EE1E9A"/>
    <w:rsid w:val="00EE3FB8"/>
    <w:rsid w:val="00EE4C39"/>
    <w:rsid w:val="00EE51DD"/>
    <w:rsid w:val="00EE5B4A"/>
    <w:rsid w:val="00EE5E77"/>
    <w:rsid w:val="00EE6181"/>
    <w:rsid w:val="00EE628A"/>
    <w:rsid w:val="00EE773F"/>
    <w:rsid w:val="00EF02FC"/>
    <w:rsid w:val="00EF0F2B"/>
    <w:rsid w:val="00EF0FEF"/>
    <w:rsid w:val="00EF15CA"/>
    <w:rsid w:val="00EF1927"/>
    <w:rsid w:val="00EF2106"/>
    <w:rsid w:val="00EF2D53"/>
    <w:rsid w:val="00EF3423"/>
    <w:rsid w:val="00EF47B8"/>
    <w:rsid w:val="00EF505D"/>
    <w:rsid w:val="00EF659D"/>
    <w:rsid w:val="00EF7305"/>
    <w:rsid w:val="00F00A34"/>
    <w:rsid w:val="00F00CAA"/>
    <w:rsid w:val="00F01B30"/>
    <w:rsid w:val="00F02684"/>
    <w:rsid w:val="00F03C74"/>
    <w:rsid w:val="00F04D02"/>
    <w:rsid w:val="00F077C1"/>
    <w:rsid w:val="00F07920"/>
    <w:rsid w:val="00F07B4A"/>
    <w:rsid w:val="00F11DB3"/>
    <w:rsid w:val="00F122AB"/>
    <w:rsid w:val="00F1316A"/>
    <w:rsid w:val="00F1320E"/>
    <w:rsid w:val="00F136F3"/>
    <w:rsid w:val="00F14344"/>
    <w:rsid w:val="00F1437B"/>
    <w:rsid w:val="00F14933"/>
    <w:rsid w:val="00F14B7C"/>
    <w:rsid w:val="00F150CC"/>
    <w:rsid w:val="00F1587A"/>
    <w:rsid w:val="00F17269"/>
    <w:rsid w:val="00F17AF4"/>
    <w:rsid w:val="00F21071"/>
    <w:rsid w:val="00F21594"/>
    <w:rsid w:val="00F21C9F"/>
    <w:rsid w:val="00F22628"/>
    <w:rsid w:val="00F2374E"/>
    <w:rsid w:val="00F23C7D"/>
    <w:rsid w:val="00F243BA"/>
    <w:rsid w:val="00F245E8"/>
    <w:rsid w:val="00F26B90"/>
    <w:rsid w:val="00F27C0F"/>
    <w:rsid w:val="00F3039D"/>
    <w:rsid w:val="00F30417"/>
    <w:rsid w:val="00F30746"/>
    <w:rsid w:val="00F3217D"/>
    <w:rsid w:val="00F32634"/>
    <w:rsid w:val="00F32D35"/>
    <w:rsid w:val="00F33650"/>
    <w:rsid w:val="00F34921"/>
    <w:rsid w:val="00F34A88"/>
    <w:rsid w:val="00F3577B"/>
    <w:rsid w:val="00F35DE0"/>
    <w:rsid w:val="00F364E3"/>
    <w:rsid w:val="00F366D2"/>
    <w:rsid w:val="00F37AF3"/>
    <w:rsid w:val="00F408F3"/>
    <w:rsid w:val="00F42FC6"/>
    <w:rsid w:val="00F44474"/>
    <w:rsid w:val="00F4472E"/>
    <w:rsid w:val="00F44A12"/>
    <w:rsid w:val="00F44B05"/>
    <w:rsid w:val="00F458DD"/>
    <w:rsid w:val="00F4724F"/>
    <w:rsid w:val="00F472E7"/>
    <w:rsid w:val="00F47913"/>
    <w:rsid w:val="00F47AAF"/>
    <w:rsid w:val="00F502F5"/>
    <w:rsid w:val="00F50A8E"/>
    <w:rsid w:val="00F50B4D"/>
    <w:rsid w:val="00F5223B"/>
    <w:rsid w:val="00F56155"/>
    <w:rsid w:val="00F57029"/>
    <w:rsid w:val="00F575C3"/>
    <w:rsid w:val="00F5792B"/>
    <w:rsid w:val="00F60DDF"/>
    <w:rsid w:val="00F6209B"/>
    <w:rsid w:val="00F629B9"/>
    <w:rsid w:val="00F635E4"/>
    <w:rsid w:val="00F653C1"/>
    <w:rsid w:val="00F70364"/>
    <w:rsid w:val="00F70E20"/>
    <w:rsid w:val="00F71419"/>
    <w:rsid w:val="00F71997"/>
    <w:rsid w:val="00F719F3"/>
    <w:rsid w:val="00F71AD8"/>
    <w:rsid w:val="00F72107"/>
    <w:rsid w:val="00F72153"/>
    <w:rsid w:val="00F7282C"/>
    <w:rsid w:val="00F72CC8"/>
    <w:rsid w:val="00F731A0"/>
    <w:rsid w:val="00F73771"/>
    <w:rsid w:val="00F74DCC"/>
    <w:rsid w:val="00F7623C"/>
    <w:rsid w:val="00F77583"/>
    <w:rsid w:val="00F77FB1"/>
    <w:rsid w:val="00F82109"/>
    <w:rsid w:val="00F82375"/>
    <w:rsid w:val="00F823A1"/>
    <w:rsid w:val="00F835BC"/>
    <w:rsid w:val="00F840EF"/>
    <w:rsid w:val="00F84B6A"/>
    <w:rsid w:val="00F85D0E"/>
    <w:rsid w:val="00F87A23"/>
    <w:rsid w:val="00F92482"/>
    <w:rsid w:val="00F9264D"/>
    <w:rsid w:val="00F92A74"/>
    <w:rsid w:val="00F93404"/>
    <w:rsid w:val="00F9424A"/>
    <w:rsid w:val="00F9641A"/>
    <w:rsid w:val="00FA05B3"/>
    <w:rsid w:val="00FA11F8"/>
    <w:rsid w:val="00FA12F7"/>
    <w:rsid w:val="00FA1EE7"/>
    <w:rsid w:val="00FA24D0"/>
    <w:rsid w:val="00FA2F11"/>
    <w:rsid w:val="00FA336A"/>
    <w:rsid w:val="00FA43A5"/>
    <w:rsid w:val="00FA4747"/>
    <w:rsid w:val="00FA79D8"/>
    <w:rsid w:val="00FB0460"/>
    <w:rsid w:val="00FB2754"/>
    <w:rsid w:val="00FB3491"/>
    <w:rsid w:val="00FB3F93"/>
    <w:rsid w:val="00FB4CED"/>
    <w:rsid w:val="00FB59E9"/>
    <w:rsid w:val="00FB7AC3"/>
    <w:rsid w:val="00FC05ED"/>
    <w:rsid w:val="00FC0C19"/>
    <w:rsid w:val="00FC252D"/>
    <w:rsid w:val="00FC272B"/>
    <w:rsid w:val="00FC4ADE"/>
    <w:rsid w:val="00FC6040"/>
    <w:rsid w:val="00FC6392"/>
    <w:rsid w:val="00FC721A"/>
    <w:rsid w:val="00FC776D"/>
    <w:rsid w:val="00FC7C76"/>
    <w:rsid w:val="00FD1717"/>
    <w:rsid w:val="00FD3C06"/>
    <w:rsid w:val="00FD3F80"/>
    <w:rsid w:val="00FD4B4B"/>
    <w:rsid w:val="00FD5C7B"/>
    <w:rsid w:val="00FD5FD3"/>
    <w:rsid w:val="00FD6783"/>
    <w:rsid w:val="00FD701D"/>
    <w:rsid w:val="00FD70F7"/>
    <w:rsid w:val="00FD7492"/>
    <w:rsid w:val="00FD78F4"/>
    <w:rsid w:val="00FE09B9"/>
    <w:rsid w:val="00FE14C7"/>
    <w:rsid w:val="00FE1EE5"/>
    <w:rsid w:val="00FE2858"/>
    <w:rsid w:val="00FE28D0"/>
    <w:rsid w:val="00FE4519"/>
    <w:rsid w:val="00FE6735"/>
    <w:rsid w:val="00FE6B34"/>
    <w:rsid w:val="00FE7516"/>
    <w:rsid w:val="00FE77EF"/>
    <w:rsid w:val="00FF34D8"/>
    <w:rsid w:val="00FF3E07"/>
    <w:rsid w:val="00FF4A77"/>
    <w:rsid w:val="00FF4F55"/>
    <w:rsid w:val="00FF6027"/>
    <w:rsid w:val="00FF6987"/>
    <w:rsid w:val="00FF75C6"/>
    <w:rsid w:val="23DD047A"/>
    <w:rsid w:val="74DF1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7CB4A"/>
  <w15:docId w15:val="{9F1D1C30-9E7A-4AC2-941A-0FFE25DB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DB4"/>
    <w:pPr>
      <w:widowControl w:val="0"/>
      <w:spacing w:afterLines="50" w:after="50" w:line="300" w:lineRule="auto"/>
      <w:ind w:firstLineChars="200" w:firstLine="200"/>
      <w:jc w:val="both"/>
    </w:pPr>
    <w:rPr>
      <w:rFonts w:ascii="Times New Roman" w:hAnsi="Times New Roman"/>
      <w:kern w:val="2"/>
      <w:sz w:val="21"/>
      <w:szCs w:val="22"/>
    </w:rPr>
  </w:style>
  <w:style w:type="paragraph" w:styleId="Heading1">
    <w:name w:val="heading 1"/>
    <w:basedOn w:val="Normal"/>
    <w:next w:val="Normal"/>
    <w:link w:val="Heading1Char"/>
    <w:uiPriority w:val="9"/>
    <w:qFormat/>
    <w:rsid w:val="008768D6"/>
    <w:pPr>
      <w:keepNext/>
      <w:keepLines/>
      <w:numPr>
        <w:numId w:val="1"/>
      </w:numPr>
      <w:spacing w:afterLines="20" w:after="20" w:line="360" w:lineRule="auto"/>
      <w:ind w:firstLineChars="0"/>
      <w:outlineLvl w:val="0"/>
    </w:pPr>
    <w:rPr>
      <w:b/>
      <w:bCs/>
      <w:kern w:val="44"/>
      <w:szCs w:val="44"/>
    </w:rPr>
  </w:style>
  <w:style w:type="paragraph" w:styleId="Heading2">
    <w:name w:val="heading 2"/>
    <w:basedOn w:val="Normal"/>
    <w:next w:val="Normal"/>
    <w:link w:val="Heading2Char"/>
    <w:uiPriority w:val="9"/>
    <w:unhideWhenUsed/>
    <w:qFormat/>
    <w:rsid w:val="008768D6"/>
    <w:pPr>
      <w:keepNext/>
      <w:keepLines/>
      <w:numPr>
        <w:ilvl w:val="1"/>
        <w:numId w:val="1"/>
      </w:numPr>
      <w:spacing w:afterLines="20" w:after="20" w:line="360" w:lineRule="auto"/>
      <w:ind w:firstLineChars="0"/>
      <w:outlineLvl w:val="1"/>
    </w:pPr>
    <w:rPr>
      <w:rFonts w:eastAsiaTheme="majorEastAsia" w:cstheme="majorBidi"/>
      <w:b/>
      <w:bCs/>
      <w:szCs w:val="32"/>
    </w:rPr>
  </w:style>
  <w:style w:type="paragraph" w:styleId="Heading3">
    <w:name w:val="heading 3"/>
    <w:basedOn w:val="Normal"/>
    <w:next w:val="Normal"/>
    <w:link w:val="Heading3Char"/>
    <w:uiPriority w:val="9"/>
    <w:unhideWhenUsed/>
    <w:qFormat/>
    <w:rsid w:val="00B31991"/>
    <w:pPr>
      <w:keepNext/>
      <w:keepLines/>
      <w:numPr>
        <w:ilvl w:val="2"/>
        <w:numId w:val="1"/>
      </w:numPr>
      <w:spacing w:line="360" w:lineRule="auto"/>
      <w:ind w:firstLineChars="0"/>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EC1327"/>
    <w:pPr>
      <w:tabs>
        <w:tab w:val="left" w:pos="504"/>
      </w:tabs>
      <w:spacing w:after="0" w:line="240" w:lineRule="auto"/>
      <w:ind w:left="504" w:hanging="504"/>
    </w:pPr>
  </w:style>
  <w:style w:type="character" w:styleId="FootnoteReference">
    <w:name w:val="footnote reference"/>
    <w:basedOn w:val="DefaultParagraphFont"/>
    <w:uiPriority w:val="99"/>
    <w:semiHidden/>
    <w:unhideWhenUsed/>
    <w:rPr>
      <w:vertAlign w:val="superscript"/>
    </w:rPr>
  </w:style>
  <w:style w:type="character" w:customStyle="1" w:styleId="FooterChar">
    <w:name w:val="Footer Char"/>
    <w:basedOn w:val="DefaultParagraphFont"/>
    <w:link w:val="Footer"/>
    <w:uiPriority w:val="99"/>
    <w:rPr>
      <w:rFonts w:ascii="Times New Roman" w:hAnsi="Times New Roman"/>
      <w:kern w:val="2"/>
      <w:sz w:val="18"/>
      <w:szCs w:val="18"/>
    </w:rPr>
  </w:style>
  <w:style w:type="character" w:customStyle="1" w:styleId="Heading2Char">
    <w:name w:val="Heading 2 Char"/>
    <w:basedOn w:val="DefaultParagraphFont"/>
    <w:link w:val="Heading2"/>
    <w:uiPriority w:val="9"/>
    <w:rsid w:val="008768D6"/>
    <w:rPr>
      <w:rFonts w:ascii="Times New Roman" w:eastAsiaTheme="majorEastAsia" w:hAnsi="Times New Roman" w:cstheme="majorBidi"/>
      <w:b/>
      <w:bCs/>
      <w:kern w:val="2"/>
      <w:sz w:val="21"/>
      <w:szCs w:val="32"/>
    </w:rPr>
  </w:style>
  <w:style w:type="paragraph" w:styleId="BalloonText">
    <w:name w:val="Balloon Text"/>
    <w:basedOn w:val="Normal"/>
    <w:link w:val="BalloonTextChar"/>
    <w:uiPriority w:val="99"/>
    <w:semiHidden/>
    <w:unhideWhenUsed/>
    <w:pPr>
      <w:spacing w:after="0" w:line="240" w:lineRule="auto"/>
    </w:pPr>
    <w:rPr>
      <w:sz w:val="18"/>
      <w:szCs w:val="18"/>
    </w:rPr>
  </w:style>
  <w:style w:type="character" w:customStyle="1" w:styleId="BalloonTextChar">
    <w:name w:val="Balloon Text Char"/>
    <w:basedOn w:val="DefaultParagraphFont"/>
    <w:link w:val="BalloonText"/>
    <w:uiPriority w:val="99"/>
    <w:semiHidden/>
    <w:rPr>
      <w:rFonts w:ascii="Times New Roman" w:hAnsi="Times New Roman"/>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pPr>
      <w:snapToGrid w:val="0"/>
      <w:jc w:val="left"/>
    </w:pPr>
    <w:rPr>
      <w:sz w:val="18"/>
      <w:szCs w:val="18"/>
    </w:rPr>
  </w:style>
  <w:style w:type="paragraph" w:customStyle="1" w:styleId="a">
    <w:name w:val="文章标题"/>
    <w:basedOn w:val="Normal"/>
    <w:next w:val="Normal"/>
    <w:qFormat/>
    <w:rsid w:val="00201886"/>
    <w:pPr>
      <w:spacing w:afterLines="0" w:after="0" w:line="360" w:lineRule="auto"/>
      <w:ind w:firstLineChars="0" w:firstLine="0"/>
      <w:jc w:val="center"/>
    </w:pPr>
    <w:rPr>
      <w:b/>
      <w:sz w:val="30"/>
    </w:rPr>
  </w:style>
  <w:style w:type="character" w:customStyle="1" w:styleId="CommentSubjectChar">
    <w:name w:val="Comment Subject Char"/>
    <w:basedOn w:val="CommentTextChar"/>
    <w:link w:val="CommentSubject"/>
    <w:uiPriority w:val="99"/>
    <w:semiHidden/>
    <w:rPr>
      <w:rFonts w:ascii="Times New Roman" w:hAnsi="Times New Roman"/>
      <w:b/>
      <w:bCs/>
      <w:sz w:val="24"/>
    </w:rPr>
  </w:style>
  <w:style w:type="paragraph" w:customStyle="1" w:styleId="a0">
    <w:name w:val="表格"/>
    <w:basedOn w:val="Normal"/>
    <w:qFormat/>
    <w:rsid w:val="0077730B"/>
    <w:pPr>
      <w:spacing w:afterLines="0" w:after="0" w:line="240" w:lineRule="auto"/>
      <w:ind w:firstLineChars="0" w:firstLine="0"/>
      <w:jc w:val="center"/>
    </w:pPr>
    <w:rPr>
      <w:rFonts w:ascii="Arial" w:eastAsia="SimSun" w:hAnsi="Arial"/>
    </w:rPr>
  </w:style>
  <w:style w:type="paragraph" w:styleId="ListParagraph">
    <w:name w:val="List Paragraph"/>
    <w:basedOn w:val="Normal"/>
    <w:uiPriority w:val="99"/>
    <w:unhideWhenUsed/>
    <w:rsid w:val="00D34C7A"/>
    <w:pPr>
      <w:ind w:firstLine="420"/>
    </w:pPr>
  </w:style>
  <w:style w:type="paragraph" w:customStyle="1" w:styleId="a1">
    <w:name w:val="原文引用"/>
    <w:basedOn w:val="Normal"/>
    <w:qFormat/>
    <w:rsid w:val="00A77A67"/>
    <w:pPr>
      <w:spacing w:afterLines="0" w:after="0"/>
      <w:ind w:leftChars="100" w:left="100" w:rightChars="100" w:right="100"/>
    </w:pPr>
    <w:rPr>
      <w:rFonts w:eastAsia="KaiTi"/>
    </w:rPr>
  </w:style>
  <w:style w:type="character" w:customStyle="1" w:styleId="FootnoteTextChar">
    <w:name w:val="Footnote Text Char"/>
    <w:basedOn w:val="DefaultParagraphFont"/>
    <w:link w:val="FootnoteText"/>
    <w:uiPriority w:val="99"/>
    <w:semiHidden/>
    <w:rPr>
      <w:rFonts w:ascii="Times New Roman" w:hAnsi="Times New Roman"/>
      <w:sz w:val="18"/>
      <w:szCs w:val="18"/>
    </w:rPr>
  </w:style>
  <w:style w:type="character" w:styleId="Hyperlink">
    <w:name w:val="Hyperlink"/>
    <w:basedOn w:val="DefaultParagraphFont"/>
    <w:uiPriority w:val="99"/>
    <w:unhideWhenUsed/>
    <w:rPr>
      <w:color w:val="0000FF" w:themeColor="hyperlink"/>
      <w:u w:val="single"/>
    </w:rPr>
  </w:style>
  <w:style w:type="character" w:styleId="LineNumber">
    <w:name w:val="line number"/>
    <w:basedOn w:val="DefaultParagraphFont"/>
    <w:uiPriority w:val="99"/>
    <w:semiHidden/>
    <w:unhideWhenUsed/>
    <w:rsid w:val="00853130"/>
  </w:style>
  <w:style w:type="paragraph" w:customStyle="1" w:styleId="a2">
    <w:name w:val="图表名称"/>
    <w:basedOn w:val="Normal"/>
    <w:next w:val="Normal"/>
    <w:qFormat/>
    <w:rsid w:val="00C76263"/>
    <w:pPr>
      <w:spacing w:line="240" w:lineRule="auto"/>
      <w:ind w:firstLineChars="0" w:firstLine="0"/>
      <w:jc w:val="center"/>
    </w:pPr>
    <w:rPr>
      <w:rFonts w:eastAsia="SimSun"/>
    </w:rPr>
  </w:style>
  <w:style w:type="character" w:customStyle="1" w:styleId="2">
    <w:name w:val="未处理的提及2"/>
    <w:basedOn w:val="DefaultParagraphFont"/>
    <w:uiPriority w:val="99"/>
    <w:semiHidden/>
    <w:unhideWhenUsed/>
    <w:rsid w:val="00FB59E9"/>
    <w:rPr>
      <w:color w:val="605E5C"/>
      <w:shd w:val="clear" w:color="auto" w:fill="E1DFDD"/>
    </w:rPr>
  </w:style>
  <w:style w:type="paragraph" w:customStyle="1" w:styleId="a3">
    <w:name w:val="参考文献"/>
    <w:basedOn w:val="Normal"/>
    <w:qFormat/>
    <w:rsid w:val="00C92F92"/>
    <w:pPr>
      <w:spacing w:afterLines="30" w:after="30" w:line="240" w:lineRule="auto"/>
    </w:pPr>
  </w:style>
  <w:style w:type="character" w:customStyle="1" w:styleId="a4">
    <w:name w:val="回复信正文 字符"/>
    <w:link w:val="a5"/>
    <w:rsid w:val="00D25950"/>
    <w:rPr>
      <w:rFonts w:ascii="Times New Roman" w:eastAsia="SimSun" w:hAnsi="Times New Roman" w:cs="Times New Roman"/>
      <w:kern w:val="2"/>
      <w:sz w:val="22"/>
      <w:szCs w:val="32"/>
    </w:rPr>
  </w:style>
  <w:style w:type="paragraph" w:styleId="CommentSubject">
    <w:name w:val="annotation subject"/>
    <w:basedOn w:val="CommentText"/>
    <w:next w:val="CommentText"/>
    <w:link w:val="CommentSubjectChar"/>
    <w:uiPriority w:val="99"/>
    <w:semiHidden/>
    <w:unhideWhenUsed/>
    <w:rPr>
      <w:b/>
      <w:bCs/>
    </w:rPr>
  </w:style>
  <w:style w:type="character" w:styleId="UnresolvedMention">
    <w:name w:val="Unresolved Mention"/>
    <w:basedOn w:val="DefaultParagraphFont"/>
    <w:uiPriority w:val="99"/>
    <w:semiHidden/>
    <w:unhideWhenUsed/>
    <w:rsid w:val="00D41323"/>
    <w:rPr>
      <w:color w:val="605E5C"/>
      <w:shd w:val="clear" w:color="auto" w:fill="E1DFDD"/>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rsid w:val="008768D6"/>
    <w:rPr>
      <w:rFonts w:ascii="Times New Roman" w:hAnsi="Times New Roman"/>
      <w:b/>
      <w:bCs/>
      <w:kern w:val="44"/>
      <w:sz w:val="21"/>
      <w:szCs w:val="44"/>
    </w:rPr>
  </w:style>
  <w:style w:type="character" w:styleId="CommentReference">
    <w:name w:val="annotation reference"/>
    <w:basedOn w:val="DefaultParagraphFont"/>
    <w:uiPriority w:val="99"/>
    <w:semiHidden/>
    <w:unhideWhenUsed/>
    <w:rPr>
      <w:sz w:val="21"/>
      <w:szCs w:val="21"/>
    </w:rPr>
  </w:style>
  <w:style w:type="paragraph" w:styleId="Footer">
    <w:name w:val="footer"/>
    <w:basedOn w:val="Normal"/>
    <w:link w:val="FooterChar"/>
    <w:uiPriority w:val="99"/>
    <w:unhideWhenUsed/>
    <w:pPr>
      <w:tabs>
        <w:tab w:val="center" w:pos="4153"/>
        <w:tab w:val="right" w:pos="8306"/>
      </w:tabs>
      <w:snapToGrid w:val="0"/>
      <w:spacing w:line="240" w:lineRule="auto"/>
      <w:jc w:val="left"/>
    </w:pPr>
    <w:rPr>
      <w:sz w:val="18"/>
      <w:szCs w:val="18"/>
    </w:rPr>
  </w:style>
  <w:style w:type="paragraph" w:styleId="CommentText">
    <w:name w:val="annotation text"/>
    <w:basedOn w:val="Normal"/>
    <w:link w:val="CommentTextChar"/>
    <w:uiPriority w:val="99"/>
    <w:unhideWhenUsed/>
    <w:qFormat/>
    <w:pPr>
      <w:jc w:val="left"/>
    </w:pPr>
  </w:style>
  <w:style w:type="character" w:customStyle="1" w:styleId="a6">
    <w:name w:val="论文正文 字符"/>
    <w:basedOn w:val="DefaultParagraphFont"/>
    <w:link w:val="a7"/>
    <w:rsid w:val="00FA43A5"/>
    <w:rPr>
      <w:rFonts w:eastAsia="SimSun"/>
      <w:kern w:val="2"/>
      <w:sz w:val="21"/>
      <w:szCs w:val="22"/>
      <w14:ligatures w14:val="standardContextual"/>
    </w:rPr>
  </w:style>
  <w:style w:type="paragraph" w:customStyle="1" w:styleId="a5">
    <w:name w:val="回复信正文"/>
    <w:basedOn w:val="Normal"/>
    <w:link w:val="a4"/>
    <w:qFormat/>
    <w:rsid w:val="00D25950"/>
    <w:pPr>
      <w:spacing w:afterLines="0" w:after="120" w:line="288" w:lineRule="auto"/>
      <w:ind w:firstLineChars="0" w:firstLine="482"/>
    </w:pPr>
    <w:rPr>
      <w:rFonts w:eastAsia="SimSun" w:cs="Times New Roman"/>
      <w:sz w:val="22"/>
      <w:szCs w:val="32"/>
    </w:rPr>
  </w:style>
  <w:style w:type="paragraph" w:styleId="Header">
    <w:name w:val="header"/>
    <w:basedOn w:val="Normal"/>
    <w:link w:val="HeaderChar"/>
    <w:uiPriority w:val="99"/>
    <w:unhideWhenUsed/>
    <w:pPr>
      <w:tabs>
        <w:tab w:val="center" w:pos="4153"/>
        <w:tab w:val="right" w:pos="8306"/>
      </w:tabs>
      <w:snapToGrid w:val="0"/>
      <w:spacing w:line="240" w:lineRule="auto"/>
      <w:jc w:val="center"/>
    </w:pPr>
    <w:rPr>
      <w:sz w:val="18"/>
      <w:szCs w:val="18"/>
    </w:rPr>
  </w:style>
  <w:style w:type="paragraph" w:customStyle="1" w:styleId="a8">
    <w:name w:val="图表空行"/>
    <w:basedOn w:val="a2"/>
    <w:next w:val="Normal"/>
    <w:qFormat/>
    <w:rsid w:val="00880A7B"/>
    <w:pPr>
      <w:spacing w:afterLines="0" w:after="0"/>
    </w:pPr>
  </w:style>
  <w:style w:type="paragraph" w:customStyle="1" w:styleId="10">
    <w:name w:val="书目1"/>
    <w:basedOn w:val="Normal"/>
    <w:next w:val="Normal"/>
    <w:uiPriority w:val="37"/>
    <w:unhideWhenUsed/>
    <w:pPr>
      <w:tabs>
        <w:tab w:val="left" w:pos="384"/>
      </w:tabs>
      <w:spacing w:after="0" w:line="240" w:lineRule="auto"/>
      <w:ind w:left="384" w:hanging="384"/>
    </w:pPr>
  </w:style>
  <w:style w:type="paragraph" w:customStyle="1" w:styleId="a7">
    <w:name w:val="论文正文"/>
    <w:basedOn w:val="Normal"/>
    <w:link w:val="a6"/>
    <w:rsid w:val="00FA43A5"/>
    <w:pPr>
      <w:spacing w:afterLines="0" w:after="0" w:line="360" w:lineRule="auto"/>
    </w:pPr>
    <w:rPr>
      <w:rFonts w:asciiTheme="minorHAnsi" w:eastAsia="SimSun" w:hAnsiTheme="minorHAnsi"/>
      <w14:ligatures w14:val="standardContextual"/>
    </w:rPr>
  </w:style>
  <w:style w:type="paragraph" w:styleId="NormalWeb">
    <w:name w:val="Normal (Web)"/>
    <w:basedOn w:val="Normal"/>
    <w:uiPriority w:val="99"/>
    <w:semiHidden/>
    <w:unhideWhenUsed/>
    <w:rsid w:val="009F344F"/>
    <w:rPr>
      <w:rFonts w:cs="Times New Roman"/>
      <w:sz w:val="24"/>
      <w:szCs w:val="24"/>
    </w:rPr>
  </w:style>
  <w:style w:type="character" w:customStyle="1" w:styleId="HeaderChar">
    <w:name w:val="Header Char"/>
    <w:basedOn w:val="DefaultParagraphFont"/>
    <w:link w:val="Header"/>
    <w:uiPriority w:val="99"/>
    <w:rPr>
      <w:rFonts w:ascii="Times New Roman" w:hAnsi="Times New Roman"/>
      <w:kern w:val="2"/>
      <w:sz w:val="18"/>
      <w:szCs w:val="18"/>
    </w:rPr>
  </w:style>
  <w:style w:type="table" w:styleId="PlainTable2">
    <w:name w:val="Plain Table 2"/>
    <w:basedOn w:val="TableNormal"/>
    <w:uiPriority w:val="42"/>
    <w:rsid w:val="00A016F8"/>
    <w:rPr>
      <w:kern w:val="2"/>
      <w:sz w:val="21"/>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qFormat/>
    <w:rsid w:val="00B31991"/>
    <w:rPr>
      <w:rFonts w:ascii="Times New Roman" w:hAnsi="Times New Roman"/>
      <w:b/>
      <w:bCs/>
      <w:kern w:val="2"/>
      <w:sz w:val="24"/>
      <w:szCs w:val="32"/>
    </w:rPr>
  </w:style>
  <w:style w:type="paragraph" w:styleId="Caption">
    <w:name w:val="caption"/>
    <w:basedOn w:val="Normal"/>
    <w:next w:val="Normal"/>
    <w:uiPriority w:val="35"/>
    <w:unhideWhenUsed/>
    <w:qFormat/>
    <w:rPr>
      <w:rFonts w:asciiTheme="majorHAnsi" w:eastAsia="SimHei" w:hAnsiTheme="majorHAnsi" w:cstheme="majorBidi"/>
      <w:sz w:val="20"/>
      <w:szCs w:val="20"/>
    </w:rPr>
  </w:style>
  <w:style w:type="character" w:customStyle="1" w:styleId="CommentTextChar">
    <w:name w:val="Comment Text Char"/>
    <w:basedOn w:val="DefaultParagraphFont"/>
    <w:link w:val="CommentText"/>
    <w:uiPriority w:val="99"/>
    <w:qFormat/>
    <w:rPr>
      <w:rFonts w:ascii="Times New Roman" w:hAnsi="Times New Roman"/>
      <w:sz w:val="24"/>
    </w:rPr>
  </w:style>
  <w:style w:type="paragraph" w:customStyle="1" w:styleId="11">
    <w:name w:val="修订1"/>
    <w:hidden/>
    <w:uiPriority w:val="99"/>
    <w:unhideWhenUsed/>
    <w:rPr>
      <w:rFonts w:ascii="Times New Roman" w:hAnsi="Times New Roman"/>
      <w:kern w:val="2"/>
      <w:sz w:val="24"/>
      <w:szCs w:val="22"/>
    </w:rPr>
  </w:style>
  <w:style w:type="paragraph" w:styleId="Revision">
    <w:name w:val="Revision"/>
    <w:hidden/>
    <w:uiPriority w:val="99"/>
    <w:unhideWhenUsed/>
    <w:rsid w:val="002B0751"/>
    <w:rPr>
      <w:rFonts w:ascii="Times New Roman" w:hAnsi="Times New Roman"/>
      <w:kern w:val="2"/>
      <w:sz w:val="24"/>
      <w:szCs w:val="22"/>
    </w:rPr>
  </w:style>
  <w:style w:type="character" w:styleId="PlaceholderText">
    <w:name w:val="Placeholder Text"/>
    <w:basedOn w:val="DefaultParagraphFont"/>
    <w:uiPriority w:val="99"/>
    <w:unhideWhenUsed/>
    <w:rsid w:val="006413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stage.jst.go.jp/article/cpijkansai/13/0/13_65/_pdf/-char/e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nikkei.com/article/DGXZQOUF20BBV0Q3A620C200000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sakakiten.com/region-information/9124/" TargetMode="Externa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9</Pages>
  <Words>3280</Words>
  <Characters>18700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pippin hsu</cp:lastModifiedBy>
  <cp:revision>4</cp:revision>
  <dcterms:created xsi:type="dcterms:W3CDTF">2026-10-08T03:04:00Z</dcterms:created>
  <dcterms:modified xsi:type="dcterms:W3CDTF">2026-10-08T12:15:00Z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id="obNkAXdZ"/&gt;&lt;style id="http://www.zotero.org/styles/harvard-cite-them-right" locale="en-GB" hasBibliography="1" bibliographyStyleHasBeenSet="0"/&gt;&lt;prefs&gt;&lt;pref name="fieldType" value="Field"/&gt;&lt;pref n</vt:lpwstr>
  </property>
  <property fmtid="{D5CDD505-2E9C-101B-9397-08002B2CF9AE}" pid="3" name="ZOTERO_PREF_2">
    <vt:lpwstr>ame="automaticJournalAbbreviations" value="true"/&gt;&lt;/prefs&gt;&lt;/data&gt;</vt:lpwstr>
  </property>
</Properties>
</file>