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绩效 OKR 与管理者沟通手册</w:t>
      </w:r>
    </w:p>
    <w:p>
      <w:pPr>
        <w:pStyle w:val="Heading1"/>
      </w:pPr>
      <w:r>
        <w:t>绩效 OKR 与管理者沟通手册</w:t>
      </w:r>
    </w:p>
    <w:p>
      <w:pPr>
        <w:spacing w:after="80"/>
        <w:ind w:firstLine="420"/>
      </w:pPr>
      <w:r>
        <w:t>文档编号：HR-OKR-2026  状态：正式版  发布日期：2026-05-16  适用范围：星河智能科技有限公司及其控股子公司  密级：内部公开，禁止外传</w:t>
      </w:r>
    </w:p>
    <w:p>
      <w:pPr>
        <w:pStyle w:val="Heading2"/>
      </w:pPr>
      <w:r>
        <w:t>0. 使用说明</w:t>
      </w:r>
    </w:p>
    <w:p>
      <w:pPr>
        <w:spacing w:after="80"/>
        <w:ind w:firstLine="420"/>
      </w:pPr>
      <w:r>
        <w:t>本文件为模拟企业知识库资料，用于 Agentic RAG、权限检索、引用忠实度、冲突信息处理和多跳问答评测。文中公司、部门、金额、流程、系统名称均为虚构，但表达方式尽量贴近真实企业内部文档。当本文件与同目录 FAQ 或历史会议纪要存在差异时，除非文件中另有说明，应优先采用发布日期更新、审批链更完整、且标记为正式制度的文件。</w:t>
      </w:r>
    </w:p>
    <w:p>
      <w:pPr>
        <w:spacing w:after="80"/>
        <w:ind w:firstLine="420"/>
      </w:pPr>
      <w:r>
        <w:t>本文件重点说明绩效、OKR、申诉和管理者沟通。它不是孤立规则，评测时可以与 hr_01_attendance_leave_policy_2026.md, hr_02_performance_okr_manager_handbook.docx, hr_03_compensation_benefits_faq.txt, hr_04_recruitment_probation_transfer_cases.json, hr_05_employee_relations_exit_process.yaml, hr_06_training_growth_matrix.csv 交叉提问，以检查检索器是否能区分相似制度、是否能引用正确来源、是否能拒绝没有依据的推断。</w:t>
      </w:r>
    </w:p>
    <w:p>
      <w:pPr>
        <w:pStyle w:val="Heading2"/>
      </w:pPr>
      <w:r>
        <w:t>1. 背景与目标</w:t>
      </w:r>
    </w:p>
    <w:p>
      <w:pPr>
        <w:spacing w:after="80"/>
        <w:ind w:firstLine="420"/>
      </w:pPr>
      <w:r>
        <w:t>1. 在跨部门场景下，绩效、OKR、申诉和管理者沟通经常与 HR、财务、IT 或产品流程交叉。人力资源部负责人需要确认请求是否可追溯、是否存在替代方案、是否已经通知相关团队。病假连续超过 3 个工作日需上传医疗证明，事假超过 2 天需直属负责人和 HRBP 双审批。如果申请内容包含多个目标，例如同时申请账号、预算和外部供应商支持，应拆成多个任务分别审批，避免一个审批结论被误用到其他事项。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试用期转正材料需包含目标完成度、协作反馈和风险事项，不能只看直属负责人一句话评价。RAG 系统回答时必须引用事实来源，不应把历史示例中的结论直接套用到当前问题。</w:t>
      </w:r>
    </w:p>
    <w:p>
      <w:pPr>
        <w:spacing w:after="80"/>
        <w:ind w:firstLine="420"/>
      </w:pPr>
      <w:r>
        <w:t>3. 该条款的常见误解是只关注最终审批结果，而忽略过程留痕。人力资源部要求所有关键变更都能回溯到原始申请、审批记录和执行结果。绩效申诉应在结果发布后 5 个工作日内提交，逾期只进入复盘记录不影响当期结果。若审批通过但执行结果与申请不一致，执行人需要在 2 个工作日内补充说明；若影响客户或财务数据，则必须同步到风险登记表。</w:t>
      </w:r>
    </w:p>
    <w:p>
      <w:pPr>
        <w:spacing w:after="80"/>
        <w:ind w:firstLine="420"/>
      </w:pPr>
      <w:r>
        <w:t>4. 绩效、OKR、申诉和管理者沟通在人力资源部的执行要求不是单一条款，而是由申请前置条件、审批节点、留痕字段、例外处理和复盘机制共同组成。内部转岗必须先完成原岗位交接清单，未交接完成不得直接调整系统权限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spacing w:after="80"/>
        <w:ind w:firstLine="420"/>
      </w:pPr>
      <w:r>
        <w:t>5. 在跨部门场景下，绩效、OKR、申诉和管理者沟通经常与 HR、财务、IT 或产品流程交叉。人力资源部负责人需要确认请求是否可追溯、是否存在替代方案、是否已经通知相关团队。离职流程涉及薪资、设备、账号和知识交接四条线，任一关键项未完成都会阻塞结算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标准工时员工每日有效工时按 8 小时计算，弹性打卡不等于免考勤。RAG 系统回答时必须引用事实来源，不应把历史示例中的结论直接套用到当前问题。</w:t>
      </w:r>
    </w:p>
    <w:p>
      <w:pPr>
        <w:pStyle w:val="Heading2"/>
      </w:pPr>
      <w:r>
        <w:t>2. 角色与责任边界</w:t>
      </w:r>
    </w:p>
    <w:p>
      <w:pPr>
        <w:pStyle w:val="Heading3"/>
      </w:pPr>
      <w:r>
        <w:t>2.1 申请人</w:t>
      </w:r>
    </w:p>
    <w:p>
      <w:pPr>
        <w:spacing w:after="80"/>
        <w:ind w:firstLine="420"/>
      </w:pPr>
      <w:r>
        <w:t>1. 在跨部门场景下，绩效、OKR、申诉和管理者沟通经常与 HR、财务、IT 或产品流程交叉。人力资源部负责人需要确认请求是否可追溯、是否存在替代方案、是否已经通知相关团队。申请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2.2 直属负责人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直属负责人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3"/>
      </w:pPr>
      <w:r>
        <w:t>2.3 部门审批人</w:t>
      </w:r>
    </w:p>
    <w:p>
      <w:pPr>
        <w:spacing w:after="80"/>
        <w:ind w:firstLine="420"/>
      </w:pPr>
      <w:r>
        <w:t>3. 该条款的常见误解是只关注最终审批结果，而忽略过程留痕。人力资源部要求所有关键变更都能回溯到原始申请、审批记录和执行结果。部门审批人必须在流程中填写可验证依据，不能只给出口头结论；若涉及例外，必须说明例外持续时间、回滚条件和复核日期。若审批通过但执行结果与申请不一致，执行人需要在 2 个工作日内补充说明；若影响客户或财务数据，则必须同步到风险登记表。</w:t>
      </w:r>
    </w:p>
    <w:p>
      <w:pPr>
        <w:pStyle w:val="Heading3"/>
      </w:pPr>
      <w:r>
        <w:t>2.4 共享服务团队</w:t>
      </w:r>
    </w:p>
    <w:p>
      <w:pPr>
        <w:spacing w:after="80"/>
        <w:ind w:firstLine="420"/>
      </w:pPr>
      <w:r>
        <w:t>4. 绩效、OKR、申诉和管理者沟通在人力资源部的执行要求不是单一条款，而是由申请前置条件、审批节点、留痕字段、例外处理和复盘机制共同组成。共享服务团队必须在流程中填写可验证依据，不能只给出口头结论；若涉及例外，必须说明例外持续时间、回滚条件和复核日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3"/>
      </w:pPr>
      <w:r>
        <w:t>2.5 风险复核人</w:t>
      </w:r>
    </w:p>
    <w:p>
      <w:pPr>
        <w:spacing w:after="80"/>
        <w:ind w:firstLine="420"/>
      </w:pPr>
      <w:r>
        <w:t>5. 在跨部门场景下，绩效、OKR、申诉和管理者沟通经常与 HR、财务、IT 或产品流程交叉。人力资源部负责人需要确认请求是否可追溯、是否存在替代方案、是否已经通知相关团队。风险复核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2.6 系统管理员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系统管理员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2"/>
      </w:pPr>
      <w:r>
        <w:t>3. 标准流程</w:t>
      </w:r>
    </w:p>
    <w:p>
      <w:r>
        <w:rPr>
          <w:b w:val="0"/>
        </w:rPr>
        <w:t>步骤 1：发起申请。 10. 评审时需要区分“事实确认”和“判断建议”。事实包括日期、金额、系统名称、审批人、工单编号和版本号；判断建议包括是否适合延期、是否需要升级审批、是否应进入例外流程。试用期转正材料需包含目标完成度、协作反馈和风险事项，不能只看直属负责人一句话评价。RAG 系统回答时必须引用事实来源，不应把历史示例中的结论直接套用到当前问题。</w:t>
      </w:r>
    </w:p>
    <w:p>
      <w:r>
        <w:rPr>
          <w:b w:val="0"/>
        </w:rPr>
        <w:t>步骤 2：补充业务背景。 11. 该条款的常见误解是只关注最终审批结果，而忽略过程留痕。人力资源部要求所有关键变更都能回溯到原始申请、审批记录和执行结果。绩效申诉应在结果发布后 5 个工作日内提交，逾期只进入复盘记录不影响当期结果。若审批通过但执行结果与申请不一致，执行人需要在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3：系统自动校验。 12. 绩效、OKR、申诉和管理者沟通在人力资源部的执行要求不是单一条款，而是由申请前置条件、审批节点、留痕字段、例外处理和复盘机制共同组成。内部转岗必须先完成原岗位交接清单，未交接完成不得直接调整系统权限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4：直属负责人审批。 13. 在跨部门场景下，绩效、OKR、申诉和管理者沟通经常与 HR、财务、IT 或产品流程交叉。人力资源部负责人需要确认请求是否可追溯、是否存在替代方案、是否已经通知相关团队。离职流程涉及薪资、设备、账号和知识交接四条线，任一关键项未完成都会阻塞结算。如果申请内容包含多个目标，例如同时申请账号、预算和外部供应商支持，应拆成多个任务分别审批，避免一个审批结论被误用到其他事项。</w:t>
      </w:r>
    </w:p>
    <w:p>
      <w:r>
        <w:rPr>
          <w:b w:val="0"/>
        </w:rPr>
        <w:t>步骤 5：专业团队复核。 14. 评审时需要区分“事实确认”和“判断建议”。事实包括日期、金额、系统名称、审批人、工单编号和版本号；判断建议包括是否适合延期、是否需要升级审批、是否应进入例外流程。标准工时员工每日有效工时按 8 小时计算，弹性打卡不等于免考勤。RAG 系统回答时必须引用事实来源，不应把历史示例中的结论直接套用到当前问题。</w:t>
      </w:r>
    </w:p>
    <w:p>
      <w:r>
        <w:rPr>
          <w:b w:val="0"/>
        </w:rPr>
        <w:t>步骤 6：执行与回写。 15. 该条款的常见误解是只关注最终审批结果，而忽略过程留痕。人力资源部要求所有关键变更都能回溯到原始申请、审批记录和执行结果。病假连续超过 3 个工作日需上传医疗证明，事假超过 2 天需直属负责人和 HRBP 双审批。若审批通过但执行结果与申请不一致，执行人需要在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7：月度抽检。 16. 绩效、OKR、申诉和管理者沟通在人力资源部的执行要求不是单一条款，而是由申请前置条件、审批节点、留痕字段、例外处理和复盘机制共同组成。试用期转正材料需包含目标完成度、协作反馈和风险事项，不能只看直属负责人一句话评价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8：问题复盘。 17. 在跨部门场景下，绩效、OKR、申诉和管理者沟通经常与 HR、财务、IT 或产品流程交叉。人力资源部负责人需要确认请求是否可追溯、是否存在替代方案、是否已经通知相关团队。绩效申诉应在结果发布后 5 个工作日内提交，逾期只进入复盘记录不影响当期结果。如果申请内容包含多个目标，例如同时申请账号、预算和外部供应商支持，应拆成多个任务分别审批，避免一个审批结论被误用到其他事项。</w:t>
      </w:r>
    </w:p>
    <w:p>
      <w:pPr>
        <w:pStyle w:val="Heading2"/>
      </w:pPr>
      <w:r>
        <w:t>4. 关键规则与阈值</w:t>
      </w:r>
    </w:p>
    <w:p>
      <w:pPr>
        <w:pStyle w:val="ListBullet"/>
      </w:pPr>
      <w:r>
        <w:t>规则 HR-OKR-2026-01：21. 在跨部门场景下，绩效、OKR、申诉和管理者沟通经常与 HR、财务、IT 或产品流程交叉。人力资源部负责人需要确认请求是否可追溯、是否存在替代方案、是否已经通知相关团队。绩效申诉应在结果发布后 5 个工作日内提交，逾期只进入复盘记录不影响当期结果。如果申请内容包含多个目标，例如同时申请账号、预算和外部供应商支持，应拆成多个任务分别审批，避免一个审批结论被误用到其他事项。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HR-OKR-2026-02：22. 评审时需要区分“事实确认”和“判断建议”。事实包括日期、金额、系统名称、审批人、工单编号和版本号；判断建议包括是否适合延期、是否需要升级审批、是否应进入例外流程。内部转岗必须先完成原岗位交接清单，未交接完成不得直接调整系统权限。RAG 系统回答时必须引用事实来源，不应把历史示例中的结论直接套用到当前问题。</w:t>
      </w:r>
    </w:p>
    <w:p>
      <w:pPr>
        <w:pStyle w:val="ListBullet"/>
      </w:pPr>
      <w:r>
        <w:t>规则 HR-OKR-2026-03：23. 该条款的常见误解是只关注最终审批结果，而忽略过程留痕。人力资源部要求所有关键变更都能回溯到原始申请、审批记录和执行结果。离职流程涉及薪资、设备、账号和知识交接四条线，任一关键项未完成都会阻塞结算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HR-OKR-2026-04：24. 绩效、OKR、申诉和管理者沟通在人力资源部的执行要求不是单一条款，而是由申请前置条件、审批节点、留痕字段、例外处理和复盘机制共同组成。标准工时员工每日有效工时按 8 小时计算，弹性打卡不等于免考勤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HR-OKR-2026-05：25. 在跨部门场景下，绩效、OKR、申诉和管理者沟通经常与 HR、财务、IT 或产品流程交叉。人力资源部负责人需要确认请求是否可追溯、是否存在替代方案、是否已经通知相关团队。病假连续超过 3 个工作日需上传医疗证明，事假超过 2 天需直属负责人和 HRBP 双审批。如果申请内容包含多个目标，例如同时申请账号、预算和外部供应商支持，应拆成多个任务分别审批，避免一个审批结论被误用到其他事项。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HR-OKR-2026-06：26. 评审时需要区分“事实确认”和“判断建议”。事实包括日期、金额、系统名称、审批人、工单编号和版本号；判断建议包括是否适合延期、是否需要升级审批、是否应进入例外流程。试用期转正材料需包含目标完成度、协作反馈和风险事项，不能只看直属负责人一句话评价。RAG 系统回答时必须引用事实来源，不应把历史示例中的结论直接套用到当前问题。</w:t>
      </w:r>
    </w:p>
    <w:p>
      <w:pPr>
        <w:pStyle w:val="ListBullet"/>
      </w:pPr>
      <w:r>
        <w:t>规则 HR-OKR-2026-07：27. 该条款的常见误解是只关注最终审批结果，而忽略过程留痕。人力资源部要求所有关键变更都能回溯到原始申请、审批记录和执行结果。绩效申诉应在结果发布后 5 个工作日内提交，逾期只进入复盘记录不影响当期结果。若审批通过但执行结果与申请不一致，执行人需要在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HR-OKR-2026-08：28. 绩效、OKR、申诉和管理者沟通在人力资源部的执行要求不是单一条款，而是由申请前置条件、审批节点、留痕字段、例外处理和复盘机制共同组成。内部转岗必须先完成原岗位交接清单，未交接完成不得直接调整系统权限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HR-OKR-2026-09：29. 在跨部门场景下，绩效、OKR、申诉和管理者沟通经常与 HR、财务、IT 或产品流程交叉。人力资源部负责人需要确认请求是否可追溯、是否存在替代方案、是否已经通知相关团队。离职流程涉及薪资、设备、账号和知识交接四条线，任一关键项未完成都会阻塞结算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HR-OKR-2026-10：30. 评审时需要区分“事实确认”和“判断建议”。事实包括日期、金额、系统名称、审批人、工单编号和版本号；判断建议包括是否适合延期、是否需要升级审批、是否应进入例外流程。标准工时员工每日有效工时按 8 小时计算，弹性打卡不等于免考勤。RAG 系统回答时必须引用事实来源，不应把历史示例中的结论直接套用到当前问题。</w:t>
      </w:r>
    </w:p>
    <w:p>
      <w:pPr>
        <w:pStyle w:val="ListBullet"/>
      </w:pPr>
      <w:r>
        <w:t>规则 HR-OKR-2026-11：31. 该条款的常见误解是只关注最终审批结果，而忽略过程留痕。人力资源部要求所有关键变更都能回溯到原始申请、审批记录和执行结果。病假连续超过 3 个工作日需上传医疗证明，事假超过 2 天需直属负责人和 HRBP 双审批。若审批通过但执行结果与申请不一致，执行人需要在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HR-OKR-2026-12：32. 绩效、OKR、申诉和管理者沟通在人力资源部的执行要求不是单一条款，而是由申请前置条件、审批节点、留痕字段、例外处理和复盘机制共同组成。试用期转正材料需包含目标完成度、协作反馈和风险事项，不能只看直属负责人一句话评价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HR-OKR-2026-13：33. 在跨部门场景下，绩效、OKR、申诉和管理者沟通经常与 HR、财务、IT 或产品流程交叉。人力资源部负责人需要确认请求是否可追溯、是否存在替代方案、是否已经通知相关团队。绩效申诉应在结果发布后 5 个工作日内提交，逾期只进入复盘记录不影响当期结果。如果申请内容包含多个目标，例如同时申请账号、预算和外部供应商支持，应拆成多个任务分别审批，避免一个审批结论被误用到其他事项。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HR-OKR-2026-14：34. 评审时需要区分“事实确认”和“判断建议”。事实包括日期、金额、系统名称、审批人、工单编号和版本号；判断建议包括是否适合延期、是否需要升级审批、是否应进入例外流程。内部转岗必须先完成原岗位交接清单，未交接完成不得直接调整系统权限。RAG 系统回答时必须引用事实来源，不应把历史示例中的结论直接套用到当前问题。</w:t>
      </w:r>
    </w:p>
    <w:p>
      <w:pPr>
        <w:pStyle w:val="ListBullet"/>
      </w:pPr>
      <w:r>
        <w:t>规则 HR-OKR-2026-15：35. 该条款的常见误解是只关注最终审批结果，而忽略过程留痕。人力资源部要求所有关键变更都能回溯到原始申请、审批记录和执行结果。离职流程涉及薪资、设备、账号和知识交接四条线，任一关键项未完成都会阻塞结算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HR-OKR-2026-16：36. 绩效、OKR、申诉和管理者沟通在人力资源部的执行要求不是单一条款，而是由申请前置条件、审批节点、留痕字段、例外处理和复盘机制共同组成。标准工时员工每日有效工时按 8 小时计算，弹性打卡不等于免考勤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2"/>
      </w:pPr>
      <w:r>
        <w:t>5. 例外、冲突与优先级</w:t>
      </w:r>
    </w:p>
    <w:p>
      <w:pPr>
        <w:spacing w:after="80"/>
        <w:ind w:firstLine="420"/>
      </w:pPr>
      <w:r>
        <w:t>1. 紧急生产事故可以先执行后补审批，但补审批不能超过 24 小时，且必须附上事故编号。病假连续超过 3 个工作日需上传医疗证明，事假超过 2 天需直属负责人和 HRBP 双审批</w:t>
      </w:r>
    </w:p>
    <w:p>
      <w:pPr>
        <w:spacing w:after="80"/>
        <w:ind w:firstLine="420"/>
      </w:pPr>
      <w:r>
        <w:t>2. 涉及个人薪酬、客户合同、源代码密钥或未公开产品路线图时，普通负责人审批不足以放行。试用期转正材料需包含目标完成度、协作反馈和风险事项，不能只看直属负责人一句话评价</w:t>
      </w:r>
    </w:p>
    <w:p>
      <w:pPr>
        <w:spacing w:after="80"/>
        <w:ind w:firstLine="420"/>
      </w:pPr>
      <w:r>
        <w:t>3. FAQ 只解释常见问题，不覆盖正式制度；如果 FAQ 与正式制度冲突，以正式制度为准。绩效申诉应在结果发布后 5 个工作日内提交，逾期只进入复盘记录不影响当期结果</w:t>
      </w:r>
    </w:p>
    <w:p>
      <w:pPr>
        <w:spacing w:after="80"/>
        <w:ind w:firstLine="420"/>
      </w:pPr>
      <w:r>
        <w:t>4. 历史案例只用于理解判断口径，不代表当前审批必然通过。内部转岗必须先完成原岗位交接清单，未交接完成不得直接调整系统权限</w:t>
      </w:r>
    </w:p>
    <w:p>
      <w:pPr>
        <w:spacing w:after="80"/>
        <w:ind w:firstLine="420"/>
      </w:pPr>
      <w:r>
        <w:t>5. 跨部门预算或权限必须按最高风险项处理，不能拆分规避审批阈值。离职流程涉及薪资、设备、账号和知识交接四条线，任一关键项未完成都会阻塞结算</w:t>
      </w:r>
    </w:p>
    <w:p>
      <w:pPr>
        <w:spacing w:after="80"/>
        <w:ind w:firstLine="420"/>
      </w:pPr>
      <w:r>
        <w:t>6. 当用户只问“能不能”“是否可以”时，RAG 回答应说明前提条件，而不是直接给绝对结论。标准工时员工每日有效工时按 8 小时计算，弹性打卡不等于免考勤</w:t>
      </w:r>
    </w:p>
    <w:p>
      <w:pPr>
        <w:pStyle w:val="Heading2"/>
      </w:pPr>
      <w:r>
        <w:t>6. 场景案例</w:t>
      </w:r>
    </w:p>
    <w:p>
      <w:pPr>
        <w:pStyle w:val="Heading3"/>
      </w:pPr>
      <w:r>
        <w:t>案例 1：绩效、OKR、申诉和管理者沟通的边界判断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场景：某员工在季度末提出请求，理由是客户交付时间提前，并且需要人力资源部在两个工作日内协助。内部转岗必须先完成原岗位交接清单，未交接完成不得直接调整系统权限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2：绩效、OKR、申诉和管理者沟通的边界判断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场景：某员工在季度末提出请求，理由是客户交付时间提前，并且需要人力资源部在两个工作日内协助。离职流程涉及薪资、设备、账号和知识交接四条线，任一关键项未完成都会阻塞结算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3：绩效、OKR、申诉和管理者沟通的边界判断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场景：某员工在季度末提出请求，理由是客户交付时间提前，并且需要人力资源部在两个工作日内协助。标准工时员工每日有效工时按 8 小时计算，弹性打卡不等于免考勤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4：绩效、OKR、申诉和管理者沟通的边界判断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场景：某员工在季度末提出请求，理由是客户交付时间提前，并且需要人力资源部在两个工作日内协助。病假连续超过 3 个工作日需上传医疗证明，事假超过 2 天需直属负责人和 HRBP 双审批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5：绩效、OKR、申诉和管理者沟通的边界判断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场景：某员工在季度末提出请求，理由是客户交付时间提前，并且需要人力资源部在两个工作日内协助。试用期转正材料需包含目标完成度、协作反馈和风险事项，不能只看直属负责人一句话评价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6：绩效、OKR、申诉和管理者沟通的边界判断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场景：某员工在季度末提出请求，理由是客户交付时间提前，并且需要人力资源部在两个工作日内协助。绩效申诉应在结果发布后 5 个工作日内提交，逾期只进入复盘记录不影响当期结果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7：绩效、OKR、申诉和管理者沟通的边界判断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场景：某员工在季度末提出请求，理由是客户交付时间提前，并且需要人力资源部在两个工作日内协助。内部转岗必须先完成原岗位交接清单，未交接完成不得直接调整系统权限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8：绩效、OKR、申诉和管理者沟通的边界判断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场景：某员工在季度末提出请求，理由是客户交付时间提前，并且需要人力资源部在两个工作日内协助。离职流程涉及薪资、设备、账号和知识交接四条线，任一关键项未完成都会阻塞结算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9：绩效、OKR、申诉和管理者沟通的边界判断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场景：某员工在季度末提出请求，理由是客户交付时间提前，并且需要人力资源部在两个工作日内协助。标准工时员工每日有效工时按 8 小时计算，弹性打卡不等于免考勤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10：绩效、OKR、申诉和管理者沟通的边界判断</w:t>
      </w:r>
    </w:p>
    <w:p>
      <w:pPr>
        <w:spacing w:after="80"/>
        <w:ind w:firstLine="420"/>
      </w:pPr>
      <w:r>
        <w:t>场景：某员工在季度末提出请求，理由是客户交付时间提前，并且需要人力资源部在两个工作日内协助。病假连续超过 3 个工作日需上传医疗证明，事假超过 2 天需直属负责人和 HRBP 双审批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2"/>
      </w:pPr>
      <w:r>
        <w:t>7. FAQ</w:t>
      </w:r>
    </w:p>
    <w:p>
      <w:r>
        <w:rPr>
          <w:b w:val="0"/>
        </w:rPr>
        <w:t>问：只要直属领导同意就可以执行吗？</w:t>
      </w:r>
    </w:p>
    <w:p>
      <w:pPr>
        <w:spacing w:after="80"/>
        <w:ind w:firstLine="420"/>
      </w:pPr>
      <w:r>
        <w:t>答：不一定。直属领导只能确认业务必要性，不能替代专业团队的合规、安全、预算或系统风险复核。绩效申诉应在结果发布后 5 个工作日内提交，逾期只进入复盘记录不影响当期结果</w:t>
      </w:r>
    </w:p>
    <w:p>
      <w:r>
        <w:rPr>
          <w:b w:val="0"/>
        </w:rPr>
        <w:t>问：历史上有人这样做过，是否说明现在也可以？</w:t>
      </w:r>
    </w:p>
    <w:p>
      <w:pPr>
        <w:spacing w:after="80"/>
        <w:ind w:firstLine="420"/>
      </w:pPr>
      <w:r>
        <w:t>答：不能。历史案例需要结合当时制度版本、审批链和风险等级判断，不能直接作为当前依据。试用期转正材料需包含目标完成度、协作反馈和风险事项，不能只看直属负责人一句话评价</w:t>
      </w:r>
    </w:p>
    <w:p>
      <w:r>
        <w:rPr>
          <w:b w:val="0"/>
        </w:rPr>
        <w:t>问：系统字段不够填怎么办？</w:t>
      </w:r>
    </w:p>
    <w:p>
      <w:pPr>
        <w:spacing w:after="80"/>
        <w:ind w:firstLine="420"/>
      </w:pPr>
      <w:r>
        <w:t>答：应在备注中补充，并上传附件；不能把关键信息写在即时通讯里替代系统记录。离职流程涉及薪资、设备、账号和知识交接四条线，任一关键项未完成都会阻塞结算</w:t>
      </w:r>
    </w:p>
    <w:p>
      <w:r>
        <w:rPr>
          <w:b w:val="0"/>
        </w:rPr>
        <w:t>问：如果多个文件说法不一致怎么办？</w:t>
      </w:r>
    </w:p>
    <w:p>
      <w:pPr>
        <w:spacing w:after="80"/>
        <w:ind w:firstLine="420"/>
      </w:pPr>
      <w:r>
        <w:t>答：优先级通常是正式制度高于 FAQ，当前版本高于历史版本，专项制度高于通用说明。绩效申诉应在结果发布后 5 个工作日内提交，逾期只进入复盘记录不影响当期结果</w:t>
      </w:r>
    </w:p>
    <w:p>
      <w:r>
        <w:rPr>
          <w:b w:val="0"/>
        </w:rPr>
        <w:t>问：RAG 回答应该怎么引用？</w:t>
      </w:r>
    </w:p>
    <w:p>
      <w:pPr>
        <w:spacing w:after="80"/>
        <w:ind w:firstLine="420"/>
      </w:pPr>
      <w:r>
        <w:t>答：应引用具体文件名、章节或条款，并避免把两个相似场景合并成一个结论。病假连续超过 3 个工作日需上传医疗证明，事假超过 2 天需直属负责人和 HRBP 双审批</w:t>
      </w:r>
    </w:p>
    <w:p>
      <w:pPr>
        <w:pStyle w:val="Heading2"/>
      </w:pPr>
      <w:r>
        <w:t>8. 相关文件</w:t>
      </w:r>
    </w:p>
    <w:p>
      <w:pPr>
        <w:pStyle w:val="ListBullet"/>
      </w:pPr>
      <w:r>
        <w:t>hr_01_attendance_leave_policy_2026.md</w:t>
      </w:r>
    </w:p>
    <w:p>
      <w:pPr>
        <w:pStyle w:val="ListBullet"/>
      </w:pPr>
      <w:r>
        <w:t>hr_02_performance_okr_manager_handbook.docx</w:t>
      </w:r>
    </w:p>
    <w:p>
      <w:pPr>
        <w:pStyle w:val="ListBullet"/>
      </w:pPr>
      <w:r>
        <w:t>hr_03_compensation_benefits_faq.txt</w:t>
      </w:r>
    </w:p>
    <w:p>
      <w:pPr>
        <w:pStyle w:val="ListBullet"/>
      </w:pPr>
      <w:r>
        <w:t>hr_04_recruitment_probation_transfer_cases.json</w:t>
      </w:r>
    </w:p>
    <w:p>
      <w:pPr>
        <w:pStyle w:val="ListBullet"/>
      </w:pPr>
      <w:r>
        <w:t>hr_05_employee_relations_exit_process.yaml</w:t>
      </w:r>
    </w:p>
    <w:p>
      <w:pPr>
        <w:pStyle w:val="ListBullet"/>
      </w:pPr>
      <w:r>
        <w:t>hr_06_training_growth_matrix.csv</w:t>
      </w:r>
    </w:p>
    <w:p>
      <w:pPr>
        <w:pStyle w:val="Heading2"/>
      </w:pPr>
      <w:r>
        <w:t>9. 版本记录</w:t>
      </w:r>
    </w:p>
    <w:p>
      <w:pPr>
        <w:pStyle w:val="ListBullet"/>
      </w:pPr>
      <w:r>
        <w:t>2026-05-16：发布正式版，增加跨部门审批、例外处理和 RAG 引用要求。</w:t>
      </w:r>
    </w:p>
    <w:p>
      <w:pPr>
        <w:pStyle w:val="ListBullet"/>
      </w:pPr>
      <w:r>
        <w:t>2026-04-20：内部评审版，补充案例与冲突优先级。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