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新员工入职与协作指南 2026</w:t>
      </w:r>
    </w:p>
    <w:p>
      <w:pPr>
        <w:pStyle w:val="Heading1"/>
      </w:pPr>
      <w:r>
        <w:t>新员工入职与协作指南 2026</w:t>
      </w:r>
    </w:p>
    <w:p>
      <w:pPr>
        <w:spacing w:after="80"/>
        <w:ind w:firstLine="420"/>
      </w:pPr>
      <w:r>
        <w:t>文档编号：PUB-ONB-2026  状态：正式版  发布日期：2026-05-16  适用范围：星河智能科技有限公司及其控股子公司  密级：内部公开，禁止外传</w:t>
      </w:r>
    </w:p>
    <w:p>
      <w:pPr>
        <w:pStyle w:val="Heading2"/>
      </w:pPr>
      <w:r>
        <w:t>0. 使用说明</w:t>
      </w:r>
    </w:p>
    <w:p>
      <w:pPr>
        <w:spacing w:after="80"/>
        <w:ind w:firstLine="420"/>
      </w:pPr>
      <w:r>
        <w:t>本文件为模拟企业知识库资料，用于 Agentic RAG、权限检索、引用忠实度、冲突信息处理和多跳问答评测。文中公司、部门、金额、流程、系统名称均为虚构，但表达方式尽量贴近真实企业内部文档。当本文件与同目录 FAQ 或历史会议纪要存在差异时，除非文件中另有说明，应优先采用发布日期更新、审批链更完整、且标记为正式制度的文件。</w:t>
      </w:r>
    </w:p>
    <w:p>
      <w:pPr>
        <w:spacing w:after="80"/>
        <w:ind w:firstLine="420"/>
      </w:pPr>
      <w:r>
        <w:t>本文件重点说明新员工入职、协作方式和知识库使用。它不是孤立规则，评测时可以与 public_01_company_operations_handbook_2026.md, public_02_onboarding_collaboration_guide_2026.docx, public_03_data_classification_ai_usage.txt, public_04_office_emergency_contacts.yaml, public_05_meeting_document_templates.json, public_06_business_terms_and_faq.csv 交叉提问，以检查检索器是否能区分相似制度、是否能引用正确来源、是否能拒绝没有依据的推断。</w:t>
      </w:r>
    </w:p>
    <w:p>
      <w:pPr>
        <w:pStyle w:val="Heading2"/>
      </w:pPr>
      <w:r>
        <w:t>1. 背景与目标</w:t>
      </w:r>
    </w:p>
    <w:p>
      <w:pPr>
        <w:spacing w:after="80"/>
        <w:ind w:firstLine="420"/>
      </w:pPr>
      <w:r>
        <w:t>1. 在跨部门场景下，新员工入职、协作方式和知识库使用经常与 HR、财务、IT 或产品流程交叉。行政与运营部负责人需要确认请求是否可追溯、是否存在替代方案、是否已经通知相关团队。2026 年所有跨部门项目必须在项目主页登记目标、负责人、里程碑和风险状态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公开材料可以对外分享，但内部公开材料仍不得包含客户名称、报价、源代码或员工个人信息。RAG 系统回答时必须引用事实来源，不应把历史示例中的结论直接套用到当前问题。</w:t>
      </w:r>
    </w:p>
    <w:p>
      <w:pPr>
        <w:spacing w:after="80"/>
        <w:ind w:firstLine="420"/>
      </w:pPr>
      <w:r>
        <w:t>3. 该条款的常见误解是只关注最终审批结果，而忽略过程留痕。行政与运营部要求所有关键变更都能回溯到原始申请、审批记录和执行结果。涉及 AI 助手的回答必须标注来源，不能把模型生成内容当作制度原文。若审批通过但执行结果与申请不一致，执行人需要在 2 个工作日内补充说明；若影响客户或财务数据，则必须同步到风险登记表。</w:t>
      </w:r>
    </w:p>
    <w:p>
      <w:pPr>
        <w:spacing w:after="80"/>
        <w:ind w:firstLine="420"/>
      </w:pPr>
      <w:r>
        <w:t>4. 新员工入职、协作方式和知识库使用在行政与运营部的执行要求不是单一条款，而是由申请前置条件、审批节点、留痕字段、例外处理和复盘机制共同组成。公共模板只规定格式，不代表审批已经完成；审批结论必须来自对应业务系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spacing w:after="80"/>
        <w:ind w:firstLine="420"/>
      </w:pPr>
      <w:r>
        <w:t>5. 在跨部门场景下，新员工入职、协作方式和知识库使用经常与 HR、财务、IT 或产品流程交叉。行政与运营部负责人需要确认请求是否可追溯、是否存在替代方案、是否已经通知相关团队。办公区紧急联系人在每季度第一个星期一复核一次，过期联系方式不得继续引用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公司内部统一使用星河协同门户作为制度入口，飞书或邮件中的截图不能替代正式制度链接。RAG 系统回答时必须引用事实来源，不应把历史示例中的结论直接套用到当前问题。</w:t>
      </w:r>
    </w:p>
    <w:p>
      <w:pPr>
        <w:pStyle w:val="Heading2"/>
      </w:pPr>
      <w:r>
        <w:t>2. 角色与责任边界</w:t>
      </w:r>
    </w:p>
    <w:p>
      <w:pPr>
        <w:pStyle w:val="Heading3"/>
      </w:pPr>
      <w:r>
        <w:t>2.1 申请人</w:t>
      </w:r>
    </w:p>
    <w:p>
      <w:pPr>
        <w:spacing w:after="80"/>
        <w:ind w:firstLine="420"/>
      </w:pPr>
      <w:r>
        <w:t>1. 在跨部门场景下，新员工入职、协作方式和知识库使用经常与 HR、财务、IT 或产品流程交叉。行政与运营部负责人需要确认请求是否可追溯、是否存在替代方案、是否已经通知相关团队。申请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2.2 直属负责人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直属负责人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3"/>
      </w:pPr>
      <w:r>
        <w:t>2.3 部门审批人</w:t>
      </w:r>
    </w:p>
    <w:p>
      <w:pPr>
        <w:spacing w:after="80"/>
        <w:ind w:firstLine="420"/>
      </w:pPr>
      <w:r>
        <w:t>3. 该条款的常见误解是只关注最终审批结果，而忽略过程留痕。行政与运营部要求所有关键变更都能回溯到原始申请、审批记录和执行结果。部门审批人必须在流程中填写可验证依据，不能只给出口头结论；若涉及例外，必须说明例外持续时间、回滚条件和复核日期。若审批通过但执行结果与申请不一致，执行人需要在 2 个工作日内补充说明；若影响客户或财务数据，则必须同步到风险登记表。</w:t>
      </w:r>
    </w:p>
    <w:p>
      <w:pPr>
        <w:pStyle w:val="Heading3"/>
      </w:pPr>
      <w:r>
        <w:t>2.4 共享服务团队</w:t>
      </w:r>
    </w:p>
    <w:p>
      <w:pPr>
        <w:spacing w:after="80"/>
        <w:ind w:firstLine="420"/>
      </w:pPr>
      <w:r>
        <w:t>4. 新员工入职、协作方式和知识库使用在行政与运营部的执行要求不是单一条款，而是由申请前置条件、审批节点、留痕字段、例外处理和复盘机制共同组成。共享服务团队必须在流程中填写可验证依据，不能只给出口头结论；若涉及例外，必须说明例外持续时间、回滚条件和复核日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3"/>
      </w:pPr>
      <w:r>
        <w:t>2.5 风险复核人</w:t>
      </w:r>
    </w:p>
    <w:p>
      <w:pPr>
        <w:spacing w:after="80"/>
        <w:ind w:firstLine="420"/>
      </w:pPr>
      <w:r>
        <w:t>5. 在跨部门场景下，新员工入职、协作方式和知识库使用经常与 HR、财务、IT 或产品流程交叉。行政与运营部负责人需要确认请求是否可追溯、是否存在替代方案、是否已经通知相关团队。风险复核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2.6 系统管理员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系统管理员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2"/>
      </w:pPr>
      <w:r>
        <w:t>3. 标准流程</w:t>
      </w:r>
    </w:p>
    <w:p>
      <w:r>
        <w:rPr>
          <w:b w:val="0"/>
        </w:rPr>
        <w:t>步骤 1：发起申请。 10. 评审时需要区分“事实确认”和“判断建议”。事实包括日期、金额、系统名称、审批人、工单编号和版本号；判断建议包括是否适合延期、是否需要升级审批、是否应进入例外流程。公开材料可以对外分享，但内部公开材料仍不得包含客户名称、报价、源代码或员工个人信息。RAG 系统回答时必须引用事实来源，不应把历史示例中的结论直接套用到当前问题。</w:t>
      </w:r>
    </w:p>
    <w:p>
      <w:r>
        <w:rPr>
          <w:b w:val="0"/>
        </w:rPr>
        <w:t>步骤 2：补充业务背景。 11. 该条款的常见误解是只关注最终审批结果，而忽略过程留痕。行政与运营部要求所有关键变更都能回溯到原始申请、审批记录和执行结果。涉及 AI 助手的回答必须标注来源，不能把模型生成内容当作制度原文。若审批通过但执行结果与申请不一致，执行人需要在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3：系统自动校验。 12. 新员工入职、协作方式和知识库使用在行政与运营部的执行要求不是单一条款，而是由申请前置条件、审批节点、留痕字段、例外处理和复盘机制共同组成。公共模板只规定格式，不代表审批已经完成；审批结论必须来自对应业务系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4：直属负责人审批。 13. 在跨部门场景下，新员工入职、协作方式和知识库使用经常与 HR、财务、IT 或产品流程交叉。行政与运营部负责人需要确认请求是否可追溯、是否存在替代方案、是否已经通知相关团队。办公区紧急联系人在每季度第一个星期一复核一次，过期联系方式不得继续引用。如果申请内容包含多个目标，例如同时申请账号、预算和外部供应商支持，应拆成多个任务分别审批，避免一个审批结论被误用到其他事项。</w:t>
      </w:r>
    </w:p>
    <w:p>
      <w:r>
        <w:rPr>
          <w:b w:val="0"/>
        </w:rPr>
        <w:t>步骤 5：专业团队复核。 14. 评审时需要区分“事实确认”和“判断建议”。事实包括日期、金额、系统名称、审批人、工单编号和版本号；判断建议包括是否适合延期、是否需要升级审批、是否应进入例外流程。公司内部统一使用星河协同门户作为制度入口，飞书或邮件中的截图不能替代正式制度链接。RAG 系统回答时必须引用事实来源，不应把历史示例中的结论直接套用到当前问题。</w:t>
      </w:r>
    </w:p>
    <w:p>
      <w:r>
        <w:rPr>
          <w:b w:val="0"/>
        </w:rPr>
        <w:t>步骤 6：执行与回写。 15. 该条款的常见误解是只关注最终审批结果，而忽略过程留痕。行政与运营部要求所有关键变更都能回溯到原始申请、审批记录和执行结果。2026 年所有跨部门项目必须在项目主页登记目标、负责人、里程碑和风险状态。若审批通过但执行结果与申请不一致，执行人需要在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7：月度抽检。 16. 新员工入职、协作方式和知识库使用在行政与运营部的执行要求不是单一条款，而是由申请前置条件、审批节点、留痕字段、例外处理和复盘机制共同组成。公开材料可以对外分享，但内部公开材料仍不得包含客户名称、报价、源代码或员工个人信息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8：问题复盘。 17. 在跨部门场景下，新员工入职、协作方式和知识库使用经常与 HR、财务、IT 或产品流程交叉。行政与运营部负责人需要确认请求是否可追溯、是否存在替代方案、是否已经通知相关团队。涉及 AI 助手的回答必须标注来源，不能把模型生成内容当作制度原文。如果申请内容包含多个目标，例如同时申请账号、预算和外部供应商支持，应拆成多个任务分别审批，避免一个审批结论被误用到其他事项。</w:t>
      </w:r>
    </w:p>
    <w:p>
      <w:pPr>
        <w:pStyle w:val="Heading2"/>
      </w:pPr>
      <w:r>
        <w:t>4. 关键规则与阈值</w:t>
      </w:r>
    </w:p>
    <w:p>
      <w:pPr>
        <w:pStyle w:val="ListBullet"/>
      </w:pPr>
      <w:r>
        <w:t>规则 PUB-ONB-2026-01：21. 在跨部门场景下，新员工入职、协作方式和知识库使用经常与 HR、财务、IT 或产品流程交叉。行政与运营部负责人需要确认请求是否可追溯、是否存在替代方案、是否已经通知相关团队。涉及 AI 助手的回答必须标注来源，不能把模型生成内容当作制度原文。如果申请内容包含多个目标，例如同时申请账号、预算和外部供应商支持，应拆成多个任务分别审批，避免一个审批结论被误用到其他事项。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PUB-ONB-2026-02：22. 评审时需要区分“事实确认”和“判断建议”。事实包括日期、金额、系统名称、审批人、工单编号和版本号；判断建议包括是否适合延期、是否需要升级审批、是否应进入例外流程。公共模板只规定格式，不代表审批已经完成；审批结论必须来自对应业务系统。RAG 系统回答时必须引用事实来源，不应把历史示例中的结论直接套用到当前问题。</w:t>
      </w:r>
    </w:p>
    <w:p>
      <w:pPr>
        <w:pStyle w:val="ListBullet"/>
      </w:pPr>
      <w:r>
        <w:t>规则 PUB-ONB-2026-03：23. 该条款的常见误解是只关注最终审批结果，而忽略过程留痕。行政与运营部要求所有关键变更都能回溯到原始申请、审批记录和执行结果。办公区紧急联系人在每季度第一个星期一复核一次，过期联系方式不得继续引用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PUB-ONB-2026-04：24. 新员工入职、协作方式和知识库使用在行政与运营部的执行要求不是单一条款，而是由申请前置条件、审批节点、留痕字段、例外处理和复盘机制共同组成。公司内部统一使用星河协同门户作为制度入口，飞书或邮件中的截图不能替代正式制度链接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PUB-ONB-2026-05：25. 在跨部门场景下，新员工入职、协作方式和知识库使用经常与 HR、财务、IT 或产品流程交叉。行政与运营部负责人需要确认请求是否可追溯、是否存在替代方案、是否已经通知相关团队。2026 年所有跨部门项目必须在项目主页登记目标、负责人、里程碑和风险状态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PUB-ONB-2026-06：26. 评审时需要区分“事实确认”和“判断建议”。事实包括日期、金额、系统名称、审批人、工单编号和版本号；判断建议包括是否适合延期、是否需要升级审批、是否应进入例外流程。公开材料可以对外分享，但内部公开材料仍不得包含客户名称、报价、源代码或员工个人信息。RAG 系统回答时必须引用事实来源，不应把历史示例中的结论直接套用到当前问题。</w:t>
      </w:r>
    </w:p>
    <w:p>
      <w:pPr>
        <w:pStyle w:val="ListBullet"/>
      </w:pPr>
      <w:r>
        <w:t>规则 PUB-ONB-2026-07：27. 该条款的常见误解是只关注最终审批结果，而忽略过程留痕。行政与运营部要求所有关键变更都能回溯到原始申请、审批记录和执行结果。涉及 AI 助手的回答必须标注来源，不能把模型生成内容当作制度原文。若审批通过但执行结果与申请不一致，执行人需要在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PUB-ONB-2026-08：28. 新员工入职、协作方式和知识库使用在行政与运营部的执行要求不是单一条款，而是由申请前置条件、审批节点、留痕字段、例外处理和复盘机制共同组成。公共模板只规定格式，不代表审批已经完成；审批结论必须来自对应业务系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PUB-ONB-2026-09：29. 在跨部门场景下，新员工入职、协作方式和知识库使用经常与 HR、财务、IT 或产品流程交叉。行政与运营部负责人需要确认请求是否可追溯、是否存在替代方案、是否已经通知相关团队。办公区紧急联系人在每季度第一个星期一复核一次，过期联系方式不得继续引用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PUB-ONB-2026-10：30. 评审时需要区分“事实确认”和“判断建议”。事实包括日期、金额、系统名称、审批人、工单编号和版本号；判断建议包括是否适合延期、是否需要升级审批、是否应进入例外流程。公司内部统一使用星河协同门户作为制度入口，飞书或邮件中的截图不能替代正式制度链接。RAG 系统回答时必须引用事实来源，不应把历史示例中的结论直接套用到当前问题。</w:t>
      </w:r>
    </w:p>
    <w:p>
      <w:pPr>
        <w:pStyle w:val="ListBullet"/>
      </w:pPr>
      <w:r>
        <w:t>规则 PUB-ONB-2026-11：31. 该条款的常见误解是只关注最终审批结果，而忽略过程留痕。行政与运营部要求所有关键变更都能回溯到原始申请、审批记录和执行结果。2026 年所有跨部门项目必须在项目主页登记目标、负责人、里程碑和风险状态。若审批通过但执行结果与申请不一致，执行人需要在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PUB-ONB-2026-12：32. 新员工入职、协作方式和知识库使用在行政与运营部的执行要求不是单一条款，而是由申请前置条件、审批节点、留痕字段、例外处理和复盘机制共同组成。公开材料可以对外分享，但内部公开材料仍不得包含客户名称、报价、源代码或员工个人信息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PUB-ONB-2026-13：33. 在跨部门场景下，新员工入职、协作方式和知识库使用经常与 HR、财务、IT 或产品流程交叉。行政与运营部负责人需要确认请求是否可追溯、是否存在替代方案、是否已经通知相关团队。涉及 AI 助手的回答必须标注来源，不能把模型生成内容当作制度原文。如果申请内容包含多个目标，例如同时申请账号、预算和外部供应商支持，应拆成多个任务分别审批，避免一个审批结论被误用到其他事项。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PUB-ONB-2026-14：34. 评审时需要区分“事实确认”和“判断建议”。事实包括日期、金额、系统名称、审批人、工单编号和版本号；判断建议包括是否适合延期、是否需要升级审批、是否应进入例外流程。公共模板只规定格式，不代表审批已经完成；审批结论必须来自对应业务系统。RAG 系统回答时必须引用事实来源，不应把历史示例中的结论直接套用到当前问题。</w:t>
      </w:r>
    </w:p>
    <w:p>
      <w:pPr>
        <w:pStyle w:val="ListBullet"/>
      </w:pPr>
      <w:r>
        <w:t>规则 PUB-ONB-2026-15：35. 该条款的常见误解是只关注最终审批结果，而忽略过程留痕。行政与运营部要求所有关键变更都能回溯到原始申请、审批记录和执行结果。办公区紧急联系人在每季度第一个星期一复核一次，过期联系方式不得继续引用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PUB-ONB-2026-16：36. 新员工入职、协作方式和知识库使用在行政与运营部的执行要求不是单一条款，而是由申请前置条件、审批节点、留痕字段、例外处理和复盘机制共同组成。公司内部统一使用星河协同门户作为制度入口，飞书或邮件中的截图不能替代正式制度链接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2"/>
      </w:pPr>
      <w:r>
        <w:t>5. 例外、冲突与优先级</w:t>
      </w:r>
    </w:p>
    <w:p>
      <w:pPr>
        <w:spacing w:after="80"/>
        <w:ind w:firstLine="420"/>
      </w:pPr>
      <w:r>
        <w:t>1. 紧急生产事故可以先执行后补审批，但补审批不能超过 24 小时，且必须附上事故编号。2026 年所有跨部门项目必须在项目主页登记目标、负责人、里程碑和风险状态</w:t>
      </w:r>
    </w:p>
    <w:p>
      <w:pPr>
        <w:spacing w:after="80"/>
        <w:ind w:firstLine="420"/>
      </w:pPr>
      <w:r>
        <w:t>2. 涉及个人薪酬、客户合同、源代码密钥或未公开产品路线图时，普通负责人审批不足以放行。公开材料可以对外分享，但内部公开材料仍不得包含客户名称、报价、源代码或员工个人信息</w:t>
      </w:r>
    </w:p>
    <w:p>
      <w:pPr>
        <w:spacing w:after="80"/>
        <w:ind w:firstLine="420"/>
      </w:pPr>
      <w:r>
        <w:t>3. FAQ 只解释常见问题，不覆盖正式制度；如果 FAQ 与正式制度冲突，以正式制度为准。涉及 AI 助手的回答必须标注来源，不能把模型生成内容当作制度原文</w:t>
      </w:r>
    </w:p>
    <w:p>
      <w:pPr>
        <w:spacing w:after="80"/>
        <w:ind w:firstLine="420"/>
      </w:pPr>
      <w:r>
        <w:t>4. 历史案例只用于理解判断口径，不代表当前审批必然通过。公共模板只规定格式，不代表审批已经完成；审批结论必须来自对应业务系统</w:t>
      </w:r>
    </w:p>
    <w:p>
      <w:pPr>
        <w:spacing w:after="80"/>
        <w:ind w:firstLine="420"/>
      </w:pPr>
      <w:r>
        <w:t>5. 跨部门预算或权限必须按最高风险项处理，不能拆分规避审批阈值。办公区紧急联系人在每季度第一个星期一复核一次，过期联系方式不得继续引用</w:t>
      </w:r>
    </w:p>
    <w:p>
      <w:pPr>
        <w:spacing w:after="80"/>
        <w:ind w:firstLine="420"/>
      </w:pPr>
      <w:r>
        <w:t>6. 当用户只问“能不能”“是否可以”时，RAG 回答应说明前提条件，而不是直接给绝对结论。公司内部统一使用星河协同门户作为制度入口，飞书或邮件中的截图不能替代正式制度链接</w:t>
      </w:r>
    </w:p>
    <w:p>
      <w:pPr>
        <w:pStyle w:val="Heading2"/>
      </w:pPr>
      <w:r>
        <w:t>6. 场景案例</w:t>
      </w:r>
    </w:p>
    <w:p>
      <w:pPr>
        <w:pStyle w:val="Heading3"/>
      </w:pPr>
      <w:r>
        <w:t>案例 1：新员工入职、协作方式和知识库使用的边界判断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场景：某员工在季度末提出请求，理由是客户交付时间提前，并且需要行政与运营部在两个工作日内协助。公共模板只规定格式，不代表审批已经完成；审批结论必须来自对应业务系统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2：新员工入职、协作方式和知识库使用的边界判断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场景：某员工在季度末提出请求，理由是客户交付时间提前，并且需要行政与运营部在两个工作日内协助。办公区紧急联系人在每季度第一个星期一复核一次，过期联系方式不得继续引用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3：新员工入职、协作方式和知识库使用的边界判断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场景：某员工在季度末提出请求，理由是客户交付时间提前，并且需要行政与运营部在两个工作日内协助。公司内部统一使用星河协同门户作为制度入口，飞书或邮件中的截图不能替代正式制度链接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4：新员工入职、协作方式和知识库使用的边界判断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场景：某员工在季度末提出请求，理由是客户交付时间提前，并且需要行政与运营部在两个工作日内协助。2026 年所有跨部门项目必须在项目主页登记目标、负责人、里程碑和风险状态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5：新员工入职、协作方式和知识库使用的边界判断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场景：某员工在季度末提出请求，理由是客户交付时间提前，并且需要行政与运营部在两个工作日内协助。公开材料可以对外分享，但内部公开材料仍不得包含客户名称、报价、源代码或员工个人信息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6：新员工入职、协作方式和知识库使用的边界判断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场景：某员工在季度末提出请求，理由是客户交付时间提前，并且需要行政与运营部在两个工作日内协助。涉及 AI 助手的回答必须标注来源，不能把模型生成内容当作制度原文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7：新员工入职、协作方式和知识库使用的边界判断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场景：某员工在季度末提出请求，理由是客户交付时间提前，并且需要行政与运营部在两个工作日内协助。公共模板只规定格式，不代表审批已经完成；审批结论必须来自对应业务系统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8：新员工入职、协作方式和知识库使用的边界判断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场景：某员工在季度末提出请求，理由是客户交付时间提前，并且需要行政与运营部在两个工作日内协助。办公区紧急联系人在每季度第一个星期一复核一次，过期联系方式不得继续引用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9：新员工入职、协作方式和知识库使用的边界判断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场景：某员工在季度末提出请求，理由是客户交付时间提前，并且需要行政与运营部在两个工作日内协助。公司内部统一使用星河协同门户作为制度入口，飞书或邮件中的截图不能替代正式制度链接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10：新员工入职、协作方式和知识库使用的边界判断</w:t>
      </w:r>
    </w:p>
    <w:p>
      <w:pPr>
        <w:spacing w:after="80"/>
        <w:ind w:firstLine="420"/>
      </w:pPr>
      <w:r>
        <w:t>场景：某员工在季度末提出请求，理由是客户交付时间提前，并且需要行政与运营部在两个工作日内协助。2026 年所有跨部门项目必须在项目主页登记目标、负责人、里程碑和风险状态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2"/>
      </w:pPr>
      <w:r>
        <w:t>7. FAQ</w:t>
      </w:r>
    </w:p>
    <w:p>
      <w:r>
        <w:rPr>
          <w:b w:val="0"/>
        </w:rPr>
        <w:t>问：只要直属领导同意就可以执行吗？</w:t>
      </w:r>
    </w:p>
    <w:p>
      <w:pPr>
        <w:spacing w:after="80"/>
        <w:ind w:firstLine="420"/>
      </w:pPr>
      <w:r>
        <w:t>答：不一定。直属领导只能确认业务必要性，不能替代专业团队的合规、安全、预算或系统风险复核。涉及 AI 助手的回答必须标注来源，不能把模型生成内容当作制度原文</w:t>
      </w:r>
    </w:p>
    <w:p>
      <w:r>
        <w:rPr>
          <w:b w:val="0"/>
        </w:rPr>
        <w:t>问：历史上有人这样做过，是否说明现在也可以？</w:t>
      </w:r>
    </w:p>
    <w:p>
      <w:pPr>
        <w:spacing w:after="80"/>
        <w:ind w:firstLine="420"/>
      </w:pPr>
      <w:r>
        <w:t>答：不能。历史案例需要结合当时制度版本、审批链和风险等级判断，不能直接作为当前依据。公开材料可以对外分享，但内部公开材料仍不得包含客户名称、报价、源代码或员工个人信息</w:t>
      </w:r>
    </w:p>
    <w:p>
      <w:r>
        <w:rPr>
          <w:b w:val="0"/>
        </w:rPr>
        <w:t>问：系统字段不够填怎么办？</w:t>
      </w:r>
    </w:p>
    <w:p>
      <w:pPr>
        <w:spacing w:after="80"/>
        <w:ind w:firstLine="420"/>
      </w:pPr>
      <w:r>
        <w:t>答：应在备注中补充，并上传附件；不能把关键信息写在即时通讯里替代系统记录。办公区紧急联系人在每季度第一个星期一复核一次，过期联系方式不得继续引用</w:t>
      </w:r>
    </w:p>
    <w:p>
      <w:r>
        <w:rPr>
          <w:b w:val="0"/>
        </w:rPr>
        <w:t>问：如果多个文件说法不一致怎么办？</w:t>
      </w:r>
    </w:p>
    <w:p>
      <w:pPr>
        <w:spacing w:after="80"/>
        <w:ind w:firstLine="420"/>
      </w:pPr>
      <w:r>
        <w:t>答：优先级通常是正式制度高于 FAQ，当前版本高于历史版本，专项制度高于通用说明。涉及 AI 助手的回答必须标注来源，不能把模型生成内容当作制度原文</w:t>
      </w:r>
    </w:p>
    <w:p>
      <w:r>
        <w:rPr>
          <w:b w:val="0"/>
        </w:rPr>
        <w:t>问：RAG 回答应该怎么引用？</w:t>
      </w:r>
    </w:p>
    <w:p>
      <w:pPr>
        <w:spacing w:after="80"/>
        <w:ind w:firstLine="420"/>
      </w:pPr>
      <w:r>
        <w:t>答：应引用具体文件名、章节或条款，并避免把两个相似场景合并成一个结论。2026 年所有跨部门项目必须在项目主页登记目标、负责人、里程碑和风险状态</w:t>
      </w:r>
    </w:p>
    <w:p>
      <w:pPr>
        <w:pStyle w:val="Heading2"/>
      </w:pPr>
      <w:r>
        <w:t>8. 相关文件</w:t>
      </w:r>
    </w:p>
    <w:p>
      <w:pPr>
        <w:pStyle w:val="ListBullet"/>
      </w:pPr>
      <w:r>
        <w:t>public_01_company_operations_handbook_2026.md</w:t>
      </w:r>
    </w:p>
    <w:p>
      <w:pPr>
        <w:pStyle w:val="ListBullet"/>
      </w:pPr>
      <w:r>
        <w:t>public_02_onboarding_collaboration_guide_2026.docx</w:t>
      </w:r>
    </w:p>
    <w:p>
      <w:pPr>
        <w:pStyle w:val="ListBullet"/>
      </w:pPr>
      <w:r>
        <w:t>public_03_data_classification_ai_usage.txt</w:t>
      </w:r>
    </w:p>
    <w:p>
      <w:pPr>
        <w:pStyle w:val="ListBullet"/>
      </w:pPr>
      <w:r>
        <w:t>public_04_office_emergency_contacts.yaml</w:t>
      </w:r>
    </w:p>
    <w:p>
      <w:pPr>
        <w:pStyle w:val="ListBullet"/>
      </w:pPr>
      <w:r>
        <w:t>public_05_meeting_document_templates.json</w:t>
      </w:r>
    </w:p>
    <w:p>
      <w:pPr>
        <w:pStyle w:val="ListBullet"/>
      </w:pPr>
      <w:r>
        <w:t>public_06_business_terms_and_faq.csv</w:t>
      </w:r>
    </w:p>
    <w:p>
      <w:pPr>
        <w:pStyle w:val="Heading2"/>
      </w:pPr>
      <w:r>
        <w:t>9. 版本记录</w:t>
      </w:r>
    </w:p>
    <w:p>
      <w:pPr>
        <w:pStyle w:val="ListBullet"/>
      </w:pPr>
      <w:r>
        <w:t>2026-05-16：发布正式版，增加跨部门审批、例外处理和 RAG 引用要求。</w:t>
      </w:r>
    </w:p>
    <w:p>
      <w:pPr>
        <w:pStyle w:val="ListBullet"/>
      </w:pPr>
      <w:r>
        <w:t>2026-04-20：内部评审版，补充案例与冲突优先级。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