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ascii="Times New Roman" w:hAnsi="Times New Roman" w:eastAsia="黑体"/>
          <w:b/>
          <w:sz w:val="52"/>
        </w:rPr>
        <w:t>XX市智慧园区建设项目</w:t>
      </w:r>
    </w:p>
    <w:p>
      <w:pPr>
        <w:ind w:firstLine="0"/>
        <w:jc w:val="center"/>
      </w:pPr>
      <w:r>
        <w:rPr>
          <w:rFonts w:ascii="Times New Roman" w:hAnsi="Times New Roman" w:eastAsia="黑体"/>
          <w:b/>
          <w:sz w:val="44"/>
        </w:rPr>
        <w:t>招 标 文 件</w:t>
      </w:r>
    </w:p>
    <w:p/>
    <w:p>
      <w:pPr>
        <w:ind w:firstLine="0"/>
        <w:jc w:val="center"/>
      </w:pPr>
      <w:r>
        <w:rPr>
          <w:rFonts w:ascii="Times New Roman" w:hAnsi="Times New Roman" w:eastAsia="宋体"/>
          <w:b w:val="0"/>
          <w:sz w:val="28"/>
        </w:rPr>
        <w:t>招标编号：ZH-2024-018</w:t>
      </w:r>
    </w:p>
    <w:p>
      <w:pPr>
        <w:ind w:firstLine="0"/>
        <w:jc w:val="center"/>
      </w:pPr>
      <w:r>
        <w:rPr>
          <w:rFonts w:ascii="Times New Roman" w:hAnsi="Times New Roman" w:eastAsia="宋体"/>
          <w:b w:val="0"/>
          <w:sz w:val="28"/>
        </w:rPr>
        <w:t>招 标 人：XX市智慧城市管理局</w:t>
      </w:r>
    </w:p>
    <w:p>
      <w:pPr>
        <w:ind w:firstLine="0"/>
        <w:jc w:val="center"/>
      </w:pPr>
      <w:r>
        <w:rPr>
          <w:rFonts w:ascii="Times New Roman" w:hAnsi="Times New Roman" w:eastAsia="宋体"/>
          <w:b w:val="0"/>
          <w:sz w:val="28"/>
        </w:rPr>
        <w:t>招标代理机构：XX市公共资源交易中心</w:t>
      </w:r>
    </w:p>
    <w:p>
      <w:pPr>
        <w:ind w:firstLine="0"/>
        <w:jc w:val="center"/>
      </w:pPr>
      <w:r>
        <w:rPr>
          <w:rFonts w:ascii="Times New Roman" w:hAnsi="Times New Roman" w:eastAsia="宋体"/>
          <w:b w:val="0"/>
          <w:sz w:val="28"/>
        </w:rPr>
        <w:t>日    期：2024 年 9 月</w:t>
      </w:r>
    </w:p>
    <w:p>
      <w:r>
        <w:br w:type="page"/>
      </w:r>
    </w:p>
    <w:p>
      <w:pPr>
        <w:pStyle w:val="Heading1"/>
      </w:pPr>
      <w:r>
        <w:t>第一章 招标公告</w:t>
      </w:r>
    </w:p>
    <w:p>
      <w:r>
        <w:rPr>
          <w:rFonts w:ascii="Times New Roman" w:hAnsi="Times New Roman" w:eastAsia="宋体"/>
          <w:b w:val="0"/>
          <w:sz w:val="24"/>
        </w:rPr>
        <w:t>XX市智慧城市管理局（以下简称'招标人'）就 XX市智慧园区建设项目（招标编号：ZH-2024-018）进行公开招标，欢迎符合条件的投标人参加投标。</w:t>
      </w:r>
    </w:p>
    <w:p>
      <w:r>
        <w:rPr>
          <w:rFonts w:ascii="Times New Roman" w:hAnsi="Times New Roman" w:eastAsia="宋体"/>
          <w:b w:val="0"/>
          <w:sz w:val="24"/>
        </w:rPr>
        <w:t>一、项目概况：本项目为园区智能化软硬件一体化建设，招标范围包括智慧安防、智慧通行、智慧能耗、智慧停车、一卡通及综合管理平台等系统的供货、安装、调试、培训及质保期服务。</w:t>
      </w:r>
    </w:p>
    <w:p>
      <w:r>
        <w:rPr>
          <w:rFonts w:ascii="Times New Roman" w:hAnsi="Times New Roman" w:eastAsia="宋体"/>
          <w:b w:val="0"/>
          <w:sz w:val="24"/>
        </w:rPr>
        <w:t>二、投标人资格要求：详见第八章资质要求。</w:t>
      </w:r>
    </w:p>
    <w:p>
      <w:r>
        <w:rPr>
          <w:rFonts w:ascii="Times New Roman" w:hAnsi="Times New Roman" w:eastAsia="宋体"/>
          <w:b w:val="0"/>
          <w:sz w:val="24"/>
        </w:rPr>
        <w:t>三、招标文件的获取：自本公告发布之日起，投标人可到 XX市公共资源交易中心获取招标文件。</w:t>
      </w:r>
    </w:p>
    <w:p>
      <w:r>
        <w:rPr>
          <w:rFonts w:ascii="Times New Roman" w:hAnsi="Times New Roman" w:eastAsia="宋体"/>
          <w:b w:val="0"/>
          <w:sz w:val="24"/>
        </w:rPr>
        <w:t>四、投标截止时间：2024 年 10 月 15 日 9 时 30 分；开标时间与地点：同投标截止时间，XX市公共资源交易中心第二开标室。</w:t>
      </w:r>
    </w:p>
    <w:p>
      <w:r>
        <w:rPr>
          <w:rFonts w:ascii="Times New Roman" w:hAnsi="Times New Roman" w:eastAsia="宋体"/>
          <w:b w:val="0"/>
          <w:sz w:val="24"/>
        </w:rPr>
        <w:t>五、联系方式：招标人联系人：王主任，联系电话：0000-8888888。</w:t>
      </w:r>
    </w:p>
    <w:p>
      <w:r>
        <w:br w:type="page"/>
      </w:r>
    </w:p>
    <w:p>
      <w:pPr>
        <w:pStyle w:val="Heading1"/>
      </w:pPr>
      <w:r>
        <w:t>第二章 投标人须知</w:t>
      </w:r>
    </w:p>
    <w:p>
      <w:pPr>
        <w:pStyle w:val="Heading3"/>
        <w:ind w:firstLine="0"/>
      </w:pPr>
      <w:r>
        <w:t>2.1 总则与项目概况</w:t>
      </w:r>
    </w:p>
    <w:p>
      <w:r>
        <w:rPr>
          <w:rFonts w:ascii="Times New Roman" w:hAnsi="Times New Roman" w:eastAsia="宋体"/>
          <w:b w:val="0"/>
          <w:sz w:val="24"/>
        </w:rPr>
        <w:t>本招标项目为XX市智慧园区建设项目，招标人为XX市智慧城市管理局，项目已具备招标条件，现对该项目进行公开招标。招标编号为ZH-2024-018，项目资金来源为财政资金，且资金已全部落实到位。本项目旨在通过智能化软硬件一体化建设，提升园区运营管理效率、优化资源配置、增强安全防控能力，打造集约高效、绿色低碳、智慧便捷的现代化园区。招标人诚邀具备相应资质和能力的潜在投标人参与投标，共同推进本市智慧城市建设进程。</w:t>
      </w:r>
    </w:p>
    <w:p>
      <w:r>
        <w:rPr>
          <w:rFonts w:ascii="Times New Roman" w:hAnsi="Times New Roman" w:eastAsia="宋体"/>
          <w:b w:val="0"/>
          <w:sz w:val="24"/>
        </w:rPr>
        <w:t>本次招标范围涵盖园区智能化软硬件一体化建设的全部内容，包括但不限于综合布线系统、网络通信系统、安防监控系统、智能楼宇自控系统、能耗管理系统、智慧停车系统、信息发布系统及园区综合管理平台等软硬件设施的采购、安装、调试、系统集成及联调联试。投标人须依据招标文件要求，完成从深化设计、设备供货、施工安装到系统调试的全过程工作，并确保各子系统间实现数据互通与协同联动，最终交付满足功能需求且运行稳定的智慧园区整体解决方案。</w:t>
      </w:r>
    </w:p>
    <w:p>
      <w:r>
        <w:rPr>
          <w:rFonts w:ascii="Times New Roman" w:hAnsi="Times New Roman" w:eastAsia="宋体"/>
          <w:b w:val="0"/>
          <w:sz w:val="24"/>
        </w:rPr>
        <w:t>本项目招标方式为公开招标，遵循《中华人民共和国招标投标法》及相关法律法规，坚持公开、公平、公正和诚实信用原则。招标人不接受联合体投标，亦不接受任何形式的转包或违法分包。投标人应具备独立法人资格，具有电子与智能化工程专业承包资质及相应的安全生产许可证，并在人员、设备、资金等方面具备承担本项目实施的能力。投标人须对投标文件的真实性、合法性负责，如有弄虚作假行为，一经查实，将取消其投标资格并依法追究相关责任。</w:t>
      </w:r>
    </w:p>
    <w:p>
      <w:r>
        <w:rPr>
          <w:rFonts w:ascii="Times New Roman" w:hAnsi="Times New Roman" w:eastAsia="宋体"/>
          <w:b w:val="0"/>
          <w:sz w:val="24"/>
        </w:rPr>
        <w:t>项目交付要求包括但不限于：完成全部软硬件设备的安装与调试，确保系统功能完备、性能指标达到设计要求；提供完整的系统操作手册、维护手册及竣工图纸等技术文档；对招标人指定的运维人员进行系统化培训，确保其具备独立操作与日常维护能力；项目整体质保期不少于三年，质保期内免费提供设备维修、软件升级及技术支持服务。投标人应在投标文件中明确项目实施计划、人员配置、质量保障措施及售后服务方案，以证明其具备履行合同的能力。</w:t>
      </w:r>
    </w:p>
    <w:p>
      <w:r>
        <w:rPr>
          <w:rFonts w:ascii="Times New Roman" w:hAnsi="Times New Roman" w:eastAsia="宋体"/>
          <w:b w:val="0"/>
          <w:sz w:val="24"/>
        </w:rPr>
        <w:t>本项目预算金额及最高限价已在招标文件其他章节中明确，投标报价不得超过最高限价，否则其投标将被否决。投标人应结合自身技术实力与市场行情，合理编制投标报价，报价应包含完成本项目所需的所有费用，包括但不限于设备费、材料费、安装调试费、培训费、税费及质保期内的服务费用等。招标人将组织评标委员会，按照招标文件规定的评标办法和标准，对投标人的技术方案、商务条件、报价合理性及售后服务承诺等进行综合评审，择优确定中标人。</w:t>
      </w:r>
    </w:p>
    <w:p>
      <w:r>
        <w:rPr>
          <w:rFonts w:ascii="Times New Roman" w:hAnsi="Times New Roman" w:eastAsia="宋体"/>
          <w:b w:val="0"/>
          <w:sz w:val="24"/>
        </w:rPr>
        <w:t>项目计划工期为合同签订后180日历天内完成全部建设内容并具备验收条件。投标人应充分考虑设备采购周期、施工安装难度及系统联调时间，制定切实可行的进度计划。在项目实施过程中，招标人将委派监理单位对工程进度、质量及安全进行全过程监督管理，投标人须无条件配合监理工作，并对监理单位提出的合理整改要求及时落实。若因投标人原因导致工期延误，将按合同约定追究其违约责任。</w:t>
      </w:r>
    </w:p>
    <w:p>
      <w:r>
        <w:rPr>
          <w:rFonts w:ascii="Times New Roman" w:hAnsi="Times New Roman" w:eastAsia="宋体"/>
          <w:b w:val="0"/>
          <w:sz w:val="24"/>
        </w:rPr>
        <w:t>本项目验收标准依据国家现行相关规范、行业标准及招标文件技术要求执行。验收分为初步验收和最终验收两个阶段，初步验收在系统安装调试完成并试运行一个月后进行，最终验收在试运行期满且系统运行稳定、各项指标达到设计要求后进行。投标人应配合招标人完成验收所需的各类测试、文档提交及整改工作。验收合格后，项目进入质保期，质保期内投标人须提供7×24小时技术支持服务，故障响应时间不超过2小时，一般故障修复时间不超过24小时，重大故障修复时间不超过48小时。</w:t>
      </w:r>
    </w:p>
    <w:p>
      <w:r>
        <w:rPr>
          <w:rFonts w:ascii="Times New Roman" w:hAnsi="Times New Roman" w:eastAsia="宋体"/>
          <w:b w:val="0"/>
          <w:sz w:val="24"/>
        </w:rPr>
        <w:t>招标文件的获取、投标文件的递交、开标时间及地点等具体安排，详见招标公告及招标文件前附表。投标人应仔细阅读招标文件全部内容，如有疑问，可在规定时间内以书面形式向招标人提出澄清要求。招标人将在投标截止时间前以书面形式答复所有投标人，该答复作为招标文件的组成部分，具有同等法律效力。投标人应确保其投标文件在投标截止时间前送达指定地点，逾期送达或不符合规定的投标文件将被拒收。</w:t>
      </w:r>
    </w:p>
    <w:p>
      <w:r>
        <w:rPr>
          <w:rFonts w:ascii="Times New Roman" w:hAnsi="Times New Roman" w:eastAsia="宋体"/>
          <w:b w:val="0"/>
          <w:sz w:val="24"/>
        </w:rPr>
        <w:t>本项目为交钥匙工程，投标人须对项目整体实施负总责，包括但不限于系统设计深化、设备选型与采购、施工安装、调试测试、试运行保障、竣工验收配合及质保期服务等全过程工作。投标人应具备丰富的智慧园区或类似智能化项目业绩，近三年内至少完成过两项合同金额不低于本项目最高限价50%的同类项目，并提供相应合同复印件及验收证明文件。招标人有权对投标人提供的业绩进行核实，如发现虚假材料，将取消其投标资格。</w:t>
      </w:r>
    </w:p>
    <w:p>
      <w:r>
        <w:rPr>
          <w:rFonts w:ascii="Times New Roman" w:hAnsi="Times New Roman" w:eastAsia="宋体"/>
          <w:b w:val="0"/>
          <w:sz w:val="24"/>
        </w:rPr>
        <w:t>在项目实施过程中，投标人应严格遵守国家有关安全生产的法律法规，建立健全安全生产责任制，制定完善的安全施工方案和应急预案，确保施工人员及园区现有设施设备的安全。同时，投标人应注重环境保护，采取有效措施减少施工噪音、粉尘及废弃物对周边环境的影响，做到文明施工、绿色施工。因投标人原因造成的安全事故或环境污染事件，由投标人承担全部责任及由此产生的所有费用。</w:t>
      </w:r>
    </w:p>
    <w:p>
      <w:r>
        <w:rPr>
          <w:rFonts w:ascii="Times New Roman" w:hAnsi="Times New Roman" w:eastAsia="宋体"/>
          <w:b w:val="0"/>
          <w:sz w:val="24"/>
        </w:rPr>
        <w:t>本项目涉及的数据安全与信息安全要求严格，投标人须承诺所采用的软硬件产品符合国家信息安全等级保护三级标准，并配合招标人完成等保测评相关工作。系统运行过程中采集的数据归招标人所有，投标人不得擅自留存、使用或向第三方泄露。投标人应建立完善的数据安全管理体系，采取加密传输、访问控制、日志审计等技术手段，确保数据在采集、传输、存储及使用过程中的安全性与完整性。</w:t>
      </w:r>
    </w:p>
    <w:p>
      <w:r>
        <w:rPr>
          <w:rFonts w:ascii="Times New Roman" w:hAnsi="Times New Roman" w:eastAsia="宋体"/>
          <w:b w:val="0"/>
          <w:sz w:val="24"/>
        </w:rPr>
        <w:t>招标人特别提醒各潜在投标人，本项目为财政资金投资项目，中标人须严格按照合同约定的付款节点和金额开具合法有效的发票，招标人将按照国库集中支付的相关规定办理付款手续。合同签订后，中标人应缴纳合同金额5%的履约保证金，履约保证金在项目最终验收合格并交付使用后予以无息退还。若中标人未能按合同约定履行义务，招标人有权扣除相应比例的履约保证金，并保留进一步追究其违约责任的权利。</w:t>
      </w:r>
    </w:p>
    <w:p>
      <w:r>
        <w:rPr>
          <w:rFonts w:ascii="Times New Roman" w:hAnsi="Times New Roman" w:eastAsia="宋体"/>
          <w:b w:val="0"/>
          <w:sz w:val="24"/>
        </w:rPr>
        <w:t>投标人应认真评估自身技术能力、施工力量及资金状况，确保能够按时保质完成本项目。在投标过程中，投标人应自行承担其编制和递交投标文件所涉及的一切费用，无论投标结果如何，招标人对上述费用均不承担任何责任。招标人保留在签订合同前对中标候选人进行实地考察的权利，考察内容包括但不限于企业规模、技术团队、在建项目情况及过往业绩真实性等，考察结果将作为最终定标的重要参考依据。</w:t>
      </w:r>
    </w:p>
    <w:p>
      <w:r>
        <w:rPr>
          <w:rFonts w:ascii="Times New Roman" w:hAnsi="Times New Roman" w:eastAsia="宋体"/>
          <w:b w:val="0"/>
          <w:sz w:val="24"/>
        </w:rPr>
        <w:t>本项目招标公告已依法在指定媒介发布，公告期限为五个工作日。投标人应密切关注招标人发布的补充通知、答疑纪要及变更公告等信息，因投标人自身原因未能及时获取相关信息而造成的损失，由投标人自行承担。招标人对招标文件的最终解释权归招标人所有，如招标文件各章节内容存在不一致之处，以澄清或补充文件为准。请各投标人严格按照招标文件要求编制投标文件，确保投标文件的完整性、合规性与有效性，积极参与本项目投标活动。</w:t>
      </w:r>
    </w:p>
    <w:p>
      <w:pPr>
        <w:pStyle w:val="Heading3"/>
        <w:ind w:firstLine="0"/>
      </w:pPr>
      <w:r>
        <w:t>2.2 招标文件的组成、澄清与修改</w:t>
      </w:r>
    </w:p>
    <w:p>
      <w:r>
        <w:rPr>
          <w:rFonts w:ascii="Times New Roman" w:hAnsi="Times New Roman" w:eastAsia="宋体"/>
          <w:b w:val="0"/>
          <w:sz w:val="24"/>
        </w:rPr>
        <w:t>本招标文件由以下部分组成，各部分内容互为补充，共同构成投标人编制投标文件及招标人组织评标、定标与合同签订的依据：招标公告、投标人须知、项目背景与建设目标、技术要求、功能要求、实施要求、人员要求、资质要求、售后服务要求、商务要求、评分标准、投标文件格式以及合同主要条款。招标公告载明项目概况、招标范围、资金来源及投标资格基本条件；投标人须知详细规定投标程序、投标有效期、投标保证金、开标评标规则及废标情形等关键事项。项目背景与建设目标阐明本智慧园区建设的总体定位、建设原则、分期目标及预期成效，为投标人理解项目意图提供宏观指引。技术要求与功能要求分别从系统架构、数据标准、接口协议、安全等级以及具体业务模块的操作流程、性能指标、交互体验等维度，对拟建智慧园区管理平台及相关配套设施提出刚性约束。实施要求涵盖项目组织、进度计划、里程碑节点、现场管理、文档交付、培训与验收办法；人员要求明确项目团队配置，包括项目经理、技术负责人、开发工程师、测试工程师等岗位的资历与数量。资质要求列明投标人须具备的行业资质、类似项目业绩、财务状况及信誉证明。售后服务要求规定质保期限、响应时限、备品备件、远程支持与现场服务等具体标准。商务要求涉及报价方式、付款条件、发票开具、履约担保及违约责任。评分标准采用综合评分法，明确价格分、技术分、商务分及现场演示分的权重与评分细则。投标文件格式为投标人提供统一的封面、目录、声明函、报价表、技术方案书等模板，确保投标文件规范一致。合同主要条款则预先载明双方权利义务、知识产权归属、保密义务、争议解决方式及合同解除条件，作为中标后签订正式合同的蓝本。上述组成部分在招标过程中具有同等法律效力，若各文件之间出现矛盾或歧义，以招标人后续发出的澄清或修改文件为准，若澄清或修改文件未涉及，则按本招标文件形成时间在后的文件优先解释。</w:t>
      </w:r>
    </w:p>
    <w:p>
      <w:r>
        <w:rPr>
          <w:rFonts w:ascii="Times New Roman" w:hAnsi="Times New Roman" w:eastAsia="宋体"/>
          <w:b w:val="0"/>
          <w:sz w:val="24"/>
        </w:rPr>
        <w:t>投标人应仔细阅读并全面理解招标文件的全部内容，包括但不限于上述各组成部分及其附件、附录和补充资料。投标人获取招标文件后，应自行核查文件页数、图表及电子文档是否完整，如有缺页、模糊或内容不一致之处，应在收到招标文件后及时向招标人提出，以便招标人予以补正。投标人被视为已充分知悉招标文件所揭示的全部风险与责任，并承诺其投标文件完全响应招标文件的实质性要求。若投标人对招标文件中的任何条款存在疑问，包括但不限于技术参数的理解、评分标准的适用、合同条款的解释、资格条件的认定或项目需求的不明之处，应在投标截止时间15日前以书面形式向招标人提出澄清请求。书面形式包括加盖公章的纸质文件扫描件、加盖电子签章的电子文档或经法定代表人或授权代表签字确认的函件，发送至招标公告指定的联系地址或电子邮箱。投标人提出的澄清请求应列明具体条款编号、疑问内容及建议解决方案，以便招标人准确理解并高效回复。招标人收到澄清请求后，将组织项目团队及专业顾问进行审慎研究，对确属招标文件表述不清、存在歧义或与法律法规相抵触的内容，将以书面形式予以澄清并答复所有潜在投标人；对不属于招标文件范围或与项目无关的询问，招标人有权不予答复，但会告知提出询问的投标人。招标人未在投标截止时间15日前收到投标人的书面澄清请求，视为投标人对招标文件全部内容已充分理解且无异议，此后不得再以招标文件存在瑕疵为由对招标结果提出质疑或投诉。</w:t>
      </w:r>
    </w:p>
    <w:p>
      <w:r>
        <w:rPr>
          <w:rFonts w:ascii="Times New Roman" w:hAnsi="Times New Roman" w:eastAsia="宋体"/>
          <w:b w:val="0"/>
          <w:sz w:val="24"/>
        </w:rPr>
        <w:t>招标人有权对已发出的招标文件进行必要的澄清或者修改，此种澄清或修改可能源于投标人提出的疑问、政策法规调整、项目需求变更或招标人自行审查发现的问题。招标人对招标文件进行澄清或者修改的，应在投标截止时间15日前以书面形式通知所有获取招标文件的潜在投标人，确保每一位潜在投标人均能在同一时间获取一致的信息。书面通知将通过招标公告载明的电子邮箱、邮寄地址或专门的采购平台系统发送，发送记录将作为有效送达的凭证。澄清或修改的内容构成招标文件的组成部分，与原始招标文件具有同等法律效力，投标人应将其纳入投标文件的编制依据。若澄清或修改的内容涉及技术要求、功能需求、评分标准或合同条款的实质性变更，招标人将在通知中明确标注变更前后对照，以便投标人快速识别差异。当澄清或修改可能影响投标文件的编制质量或需要投标人投入额外工作量时，招标人将根据实际情况评估是否需顺延投标截止时间。若澄清或修改发生在距投标截止时间不足15日，且该澄清或修改对投标文件编制产生实质性影响，招标人将依法相应延长投标截止时间，延长时间不少于原规定的时间跨度，以确保投标人有充足时间调整投标方案。延长投标截止时间的通知将以书面形式发送至所有获取招标文件的潜在投标人，并在原招标公告发布媒介上予以公告。投标人在收到澄清或修改文件后，应在24小时内向招标人确认收悉；若未确认，招标人将电话或短信提醒，直至确认送达。投标人未按上述要求确认收悉的，不影响澄清或修改文件的法律效力，但由此导致的任何误解或遗漏由投标人自行承担。</w:t>
      </w:r>
    </w:p>
    <w:p>
      <w:r>
        <w:rPr>
          <w:rFonts w:ascii="Times New Roman" w:hAnsi="Times New Roman" w:eastAsia="宋体"/>
          <w:b w:val="0"/>
          <w:sz w:val="24"/>
        </w:rPr>
        <w:t>招标文件的澄清、修改及补遗文件均以招标人书面发出的版本为准，任何非招标人官方渠道传播的信息或口头解释均不具备约束力。投标人不得以非官方渠道获取的信息作为编制投标文件的依据，否则由此产生的风险由投标人自行承担。招标人保留对招标文件的最终解释权，但解释内容不得违反国家有关招标投标的法律法规及本项目适用的政策规定。若招标文件的澄清或修改内容与原文件存在不一致之处，无论该澄清或修改是否明确标注替代关系，均以最后发出的书面文件为准。投标人在编制投标文件时，应特别关注所有澄清及修改文件，并将其内容完整融入技术方案、商务报价及合同响应文件中。若投标文件与澄清或修改文件的要求相抵触，评标委员会将以澄清或修改文件作为评审依据，并可能因此认定投标文件未实质性响应招标要求。招标人发出的所有澄清或修改文件将妥善存档，作为招标过程文件的一部分，以备监督部门审查及潜在投标人查阅。本节的各项规定旨在保障招标投标活动的公开、公平、公正，维护所有潜在投标人的合法权益，确保招标文件的严谨性与可执行性，为后续开标、评标、定标及合同履行奠定坚实基础。投标人应密切关注招标人发出的任何书面通知，并确保其投标文件中预留的联系方式准确有效，因联系方式错误或变更未及时通知招标人而导致澄清或修改文件未能及时送达的，相关后果由投标人自行承担。</w:t>
      </w:r>
    </w:p>
    <w:p>
      <w:pPr>
        <w:pStyle w:val="Heading3"/>
        <w:ind w:firstLine="0"/>
      </w:pPr>
      <w:r>
        <w:t>2.3 投标文件的编制与递交</w:t>
      </w:r>
    </w:p>
    <w:p>
      <w:r>
        <w:rPr>
          <w:rFonts w:ascii="Times New Roman" w:hAnsi="Times New Roman" w:eastAsia="宋体"/>
          <w:b w:val="0"/>
          <w:sz w:val="24"/>
        </w:rPr>
        <w:t>投标人应严格按照本招标文件的要求编制投标文件，投标文件须使用中文编写，文字应准确、清晰，计量单位采用中华人民共和国法定计量单位。投标文件应统一采用A4幅面纸张打印或复印，并按照招标文件规定的顺序装订成册，采用胶装方式，不得使用活页夹、抽杆夹等易于拆卸的装订形式，以确保投标文件的完整性与不可篡改性。投标文件应编制目录，并逐页标注连续页码，以便评审查阅。投标文件的正本与副本应分别封装，正本一份，副本四份，共计五份纸质文件，另需提供电子版投标文件一份，存储介质为U盘，电子版内容须与纸质版完全一致，包括全部投标文件内容的PDF格式扫描件及可编辑的Word文档，U盘表面应标注投标人名称及项目名称，并随纸质投标文件一同密封递交。</w:t>
      </w:r>
    </w:p>
    <w:p>
      <w:r>
        <w:rPr>
          <w:rFonts w:ascii="Times New Roman" w:hAnsi="Times New Roman" w:eastAsia="宋体"/>
          <w:b w:val="0"/>
          <w:sz w:val="24"/>
        </w:rPr>
        <w:t>投标文件应由投标人的法定代表人或其授权代表签字或盖章，并加盖投标人单位公章。所有要求签字或盖章之处均不得遗漏，否则可能导致投标文件被否决。投标文件中的任何修改、增删之处，均须由投标人的法定代表人或其授权代表在修改处签字或盖章确认，否则修改内容无效。投标人应确保投标文件内容的真实性、合法性和有效性，并对所提供的全部资料承担法律责任。若投标文件存在虚假记载、误导性陈述或重大遗漏，招标人有权取消其投标资格，并依法追究相关责任。</w:t>
      </w:r>
    </w:p>
    <w:p>
      <w:r>
        <w:rPr>
          <w:rFonts w:ascii="Times New Roman" w:hAnsi="Times New Roman" w:eastAsia="宋体"/>
          <w:b w:val="0"/>
          <w:sz w:val="24"/>
        </w:rPr>
        <w:t>投标文件的递交截止时间为2024年10月15日9时30分，投标人应在该时间之前将密封完好的投标文件送达至指定地点，逾期送达或未送达指定地点的投标文件，招标人将不予受理，并原封退回。开标时间与投标截止时间为同一时间，即2024年10月15日9时30分，开标地点为XX市公共资源交易中心第二开标室。投标人的法定代表人或其授权代表应准时参加开标会议，并携带有效身份证明文件以备查验。若投标人未派代表参加开标会议，视为其对开标过程及结果无异议。开标过程将邀请有关监督部门进行全程监督，确保开标活动的公开、公平、公正。</w:t>
      </w:r>
    </w:p>
    <w:p>
      <w:r>
        <w:rPr>
          <w:rFonts w:ascii="Times New Roman" w:hAnsi="Times New Roman" w:eastAsia="宋体"/>
          <w:b w:val="0"/>
          <w:sz w:val="24"/>
        </w:rPr>
        <w:t>投标文件的有效期为自投标截止之日起90天。在投标有效期内，投标人不得撤销或修改其投标文件，否则其投标保证金将不予退还。若因特殊情况需要延长投标有效期，招标人将在投标有效期届满前书面通知所有投标人，投标人有权同意或拒绝延长。同意延长的投标人应相应延长投标保证金的有效期，但不得要求修改投标文件的实质性内容；拒绝延长的投标人，其投标文件在投标有效期届满后自动失效，招标人将在延长期内退还其投标保证金。投标有效期不足的投标文件将被视为非实质性响应，可能被否决。</w:t>
      </w:r>
    </w:p>
    <w:p>
      <w:r>
        <w:rPr>
          <w:rFonts w:ascii="Times New Roman" w:hAnsi="Times New Roman" w:eastAsia="宋体"/>
          <w:b w:val="0"/>
          <w:sz w:val="24"/>
        </w:rPr>
        <w:t>投标人须在递交投标文件的同时，提交投标保证金，金额为人民币20万元整。投标保证金可采用银行转账、电汇、银行保函或招标人认可的其他非现金形式提交，且须在投标截止时间前到达招标人指定账户。以银行转账或电汇方式提交的，投标人应确保资金在投标截止时间前到账，并凭银行回单换取收据；以银行保函形式提交的，保函有效期须覆盖投标有效期，且保函格式须符合招标文件要求。未按规定提交投标保证金的投标人，其投标文件将被视为非实质性响应，不予进入评审环节。投标保证金的退还：未中标人的投标保证金将在中标通知书发出后5个工作日内无息退还；中标人的投标保证金将在其与招标人签订合同并提交履约保证金后5个工作日内无息退还。若投标人在投标有效期内撤销投标文件，或中标人无正当理由拒绝签订合同，或存在其他违反招标文件规定的情形，招标人有权不予退还其投标保证金。</w:t>
      </w:r>
    </w:p>
    <w:p>
      <w:r>
        <w:rPr>
          <w:rFonts w:ascii="Times New Roman" w:hAnsi="Times New Roman" w:eastAsia="宋体"/>
          <w:b w:val="0"/>
          <w:sz w:val="24"/>
        </w:rPr>
        <w:t>投标文件应包含但不限于以下内容：投标函及投标函附录、法定代表人身份证明或授权委托书、投标保证金缴纳证明、资格证明文件（包括营业执照、资质证书、业绩证明等）、技术方案（包括项目理解、总体架构设计、实施方案、运维方案等）、商务报价文件（包括投标报价汇总表、分项报价明细表等）、项目管理机构及人员配置、售后服务承诺及培训方案等。投标人应按照招标文件提供的格式编制上述文件，并确保内容完整、逻辑清晰、数据准确。投标报价应包含完成本项目所需的一切费用，包括但不限于设备费、软件费、安装调试费、运输费、保险费、税费、培训费及售后服务费等，投标人应综合考虑项目风险及市场因素，合理报价，不得低于成本报价，也不得进行恶意高价围标。</w:t>
      </w:r>
    </w:p>
    <w:p>
      <w:r>
        <w:rPr>
          <w:rFonts w:ascii="Times New Roman" w:hAnsi="Times New Roman" w:eastAsia="宋体"/>
          <w:b w:val="0"/>
          <w:sz w:val="24"/>
        </w:rPr>
        <w:t>投标文件的密封与标记要求：投标人应将投标文件正本、副本及电子版U盘分别密封在三个独立的内层信封中，再将三个内层信封共同封装在一个外层信封内。所有信封的封口处应粘贴密封条，并加盖投标人公章或由法定代表人或其授权代表签字。外层信封上应注明项目名称、项目编号、投标人名称、地址及“在2024年10月15日9时30分之前不得启封”的字样。若因投标人未按要求密封或标记导致投标文件被提前启封或误投，招标人不承担任何责任。投标文件递交后，投标人不得撤回、修改或补充，除非在投标截止时间前以书面形式向招标人提出，并经招标人确认后方可执行。</w:t>
      </w:r>
    </w:p>
    <w:p>
      <w:r>
        <w:rPr>
          <w:rFonts w:ascii="Times New Roman" w:hAnsi="Times New Roman" w:eastAsia="宋体"/>
          <w:b w:val="0"/>
          <w:sz w:val="24"/>
        </w:rPr>
        <w:t>投标人应自行承担其编制和递交投标文件所涉及的一切费用，无论投标结果如何，招标人对上述费用不承担任何责任。招标人保留在签订合同前对投标文件内容进行澄清或要求投标人补充说明的权利，投标人应予以配合。本招标文件的最终解释权归招标人所有，投标人递交投标文件即视为已充分理解并接受本招标文件的全部条款。投标人应密切关注招标人发布的澄清、修改或补充通知，该等通知与本招标文件具有同等法律效力，若投标人未及时获取相关信息而造成的损失，由投标人自行承担。</w:t>
      </w:r>
    </w:p>
    <w:p>
      <w:r>
        <w:br w:type="page"/>
      </w:r>
    </w:p>
    <w:p>
      <w:pPr>
        <w:pStyle w:val="Heading1"/>
      </w:pPr>
      <w:r>
        <w:t>第三章 项目背景与建设目标</w:t>
      </w:r>
    </w:p>
    <w:p>
      <w:pPr>
        <w:pStyle w:val="Heading3"/>
        <w:ind w:firstLine="0"/>
      </w:pPr>
      <w:r>
        <w:t>3.1 园区现状与建设背景</w:t>
      </w:r>
    </w:p>
    <w:p>
      <w:r>
        <w:rPr>
          <w:rFonts w:ascii="Times New Roman" w:hAnsi="Times New Roman" w:eastAsia="宋体"/>
          <w:b w:val="0"/>
          <w:sz w:val="24"/>
        </w:rPr>
        <w:t>本园区作为区域产业集聚的重要载体，总占地面积约800亩，目前已吸引入驻企业120余家，园区内日常办公及作业人员规模稳定在约1.5万人。经过多年运营发展，园区已形成涵盖研发办公、生产制造、物流仓储及生活配套的复合型功能格局，在促进区域经济增长、带动就业方面发挥了显著作用。然而，随着园区规模持续扩大和入驻企业数量不断增长，既有基础设施与管理模式已难以适应高质量发展的现实需求，亟需通过系统性升级实现管理效能与服务水平的新突破。</w:t>
      </w:r>
    </w:p>
    <w:p>
      <w:r>
        <w:rPr>
          <w:rFonts w:ascii="Times New Roman" w:hAnsi="Times New Roman" w:eastAsia="宋体"/>
          <w:b w:val="0"/>
          <w:sz w:val="24"/>
        </w:rPr>
        <w:t>从现状管理运行情况来看，园区在安防、门禁、停车、能耗等关键领域虽已部署了相应的智能化子系统，但各系统长期独立建设、独立运维，彼此之间缺乏统一的数据接口与联动控制机制。具体而言，视频监控系统、入侵报警系统与门禁控制系统分属不同厂商平台，数据格式与通信协议互不兼容；停车管理系统仅能实现出入口道闸控制与基础计费，无法与园区人员通行数据、访客预约信息进行有效关联；能耗监测系统覆盖范围有限，且数据采集频率低、分析维度单一，难以支撑精细化能源管理决策。上述系统各自为政的局面，直接导致了园区层面形成严重的数据孤岛，跨系统数据无法共享、业务流程无法协同，管理人员需在多个独立操作界面间频繁切换，日常运维工作量繁重且效率低下。</w:t>
      </w:r>
    </w:p>
    <w:p>
      <w:r>
        <w:rPr>
          <w:rFonts w:ascii="Times New Roman" w:hAnsi="Times New Roman" w:eastAsia="宋体"/>
          <w:b w:val="0"/>
          <w:sz w:val="24"/>
        </w:rPr>
        <w:t>以安防管理为例，当园区内发生异常事件时，安保人员需分别调取视频录像、门禁记录、车辆出入记录等多套系统数据进行人工比对分析，耗时较长且容易遗漏关键线索，无法实现事件的快速定位与联动处置。在访客管理场景中，访客信息登记、车辆临时授权、楼宇门禁放行等环节相互割裂，缺乏一体化审批与授权流程，既影响访客体验，也增加了安全管理隐患。停车管理方面，园区现有车位资源利用不均衡，高峰期部分区域拥堵严重，而另一些区域车位闲置，由于缺乏统一的停车诱导与预约系统，车主无法及时获取空余车位信息，无效绕行现象普遍存在。能耗管理层面，各楼宇电表、水表数据未实现远程集中采集与智能分析，能源浪费点难以精准识别，节能改造缺乏数据支撑，与绿色低碳发展目标存在明显差距。</w:t>
      </w:r>
    </w:p>
    <w:p>
      <w:r>
        <w:rPr>
          <w:rFonts w:ascii="Times New Roman" w:hAnsi="Times New Roman" w:eastAsia="宋体"/>
          <w:b w:val="0"/>
          <w:sz w:val="24"/>
        </w:rPr>
        <w:t>从管理机制角度审视，由于各子系统独立运行，园区运营管理团队不得不配置多组专业人员分别负责不同系统的日常巡检、故障报修与数据统计，人力成本居高不下。同时，各系统产生的海量数据分散存储于不同数据库中，缺乏统一的数据治理标准与共享机制，数据价值未能得到有效挖掘利用。管理层在进行园区整体运行态势研判、资源配置优化、应急预案制定等决策时，难以获得全面、实时、准确的数据支撑，决策方式仍以经验判断为主，精细化、智能化管理水平亟待提升。此外，各系统设备老化程度不一，部分前端设备已超出设计使用年限，故障率逐年上升，备品备件采购困难，维护成本持续增加，进一步加剧了管理负担。</w:t>
      </w:r>
    </w:p>
    <w:p>
      <w:r>
        <w:rPr>
          <w:rFonts w:ascii="Times New Roman" w:hAnsi="Times New Roman" w:eastAsia="宋体"/>
          <w:b w:val="0"/>
          <w:sz w:val="24"/>
        </w:rPr>
        <w:t>从建设背景来看，当前城市数字化转型已进入全面加速阶段，各级政府相继出台系列政策文件，明确要求以新一代信息技术为驱动，推动城市治理体系和治理能力现代化。智慧园区作为智慧城市的重要组成部分，是落实城市数字化转型要求的关键落脚点与先行实践区。本园区所在区域政府已将智慧园区建设纳入年度重点任务清单，明确提出要打造具有示范效应的智慧园区标杆项目，通过数字化手段重塑园区管理流程、优化资源配置、提升服务品质，为区域产业升级和城市智慧化转型提供可复制、可推广的经验模式。</w:t>
      </w:r>
    </w:p>
    <w:p>
      <w:r>
        <w:rPr>
          <w:rFonts w:ascii="Times New Roman" w:hAnsi="Times New Roman" w:eastAsia="宋体"/>
          <w:b w:val="0"/>
          <w:sz w:val="24"/>
        </w:rPr>
        <w:t>与此同时，园区内入驻企业对办公环境智能化水平、通行效率、能源管理精细度等方面的期望值不断提高。在激烈的产业招商竞争中，园区基础设施的智能化程度已成为企业选址评估的重要考量因素之一。建设统一、高效、联动的智慧园区管理平台，不仅能够有效解决当前各系统各自为政、数据孤岛、管理效率低等突出问题，更能够显著提升园区的综合竞争力和品牌形象，增强对优质企业和高端人才的吸引力。此外，国家“双碳”战略的深入实施也对园区能源管理提出了更高要求，通过智慧化手段实现能耗数据的实时监测、分析与优化调控，是园区履行社会责任、实现绿色低碳发展的必然选择。</w:t>
      </w:r>
    </w:p>
    <w:p>
      <w:r>
        <w:rPr>
          <w:rFonts w:ascii="Times New Roman" w:hAnsi="Times New Roman" w:eastAsia="宋体"/>
          <w:b w:val="0"/>
          <w:sz w:val="24"/>
        </w:rPr>
        <w:t>综上所述，本园区既有良好的产业基础与规模体量，又面临着系统割裂、数据孤岛、管理效率低下等现实瓶颈。在政策驱动、市场需求与技术成熟度多重因素共同作用下，全面推进智慧园区建设，构建覆盖安防、门禁、停车、能耗等核心业务的一体化智慧管理平台，实现数据融合共享、业务协同联动、决策智能辅助，既是解决当前管理痛点的迫切要求，也是落实城市数字化转型战略、打造智慧园区示范标杆的重要举措。本项目的实施将从根本上改变园区现有管理模式，推动园区运营从“被动响应”向“主动预警”、从“经验决策”向“数据驱动”、从“粗放管理”向“精准治理”转变，为园区可持续发展注入新动能。</w:t>
      </w:r>
    </w:p>
    <w:p>
      <w:pPr>
        <w:pStyle w:val="Heading3"/>
        <w:ind w:firstLine="0"/>
      </w:pPr>
      <w:r>
        <w:t>3.2 建设目标与建设原则</w:t>
      </w:r>
    </w:p>
    <w:p>
      <w:r>
        <w:rPr>
          <w:rFonts w:ascii="Times New Roman" w:hAnsi="Times New Roman" w:eastAsia="宋体"/>
          <w:b w:val="0"/>
          <w:sz w:val="24"/>
        </w:rPr>
        <w:t>本项目以提升园区综合运营效率、优化用户体验、保障园区安全为核心，旨在构建一套覆盖安防、通行、能耗、停车、一卡通等核心业务场景的智慧园区综合管理平台。通过该平台的建设，最终实现园区管理“一屏统览、一网统管、一键联动”的总体目标，即通过统一的可视化大屏呈现园区运行全貌，依托一张泛在感知网络实现跨子系统协同管控，并借助预设联动策略在应急事件中实现一键式响应与处置。平台建设需遵循“统一规划、分步实施、安全可控、适度超前、开放兼容”的总体原则，确保项目在技术先进性、系统稳定性与投资合理性之间取得最佳平衡，为园区长期数字化演进奠定坚实基础。</w:t>
      </w:r>
    </w:p>
    <w:p>
      <w:r>
        <w:rPr>
          <w:rFonts w:ascii="Times New Roman" w:hAnsi="Times New Roman" w:eastAsia="宋体"/>
          <w:b w:val="0"/>
          <w:sz w:val="24"/>
        </w:rPr>
        <w:t>在具体建设目标层面，本项目要求建成一个集成化、智能化的综合管理平台，该平台需无缝整合视频监控、入侵报警、出入口控制、访客管理、车辆道闸、能耗监测、照明控制及一卡通消费/门禁等子系统。平台需具备统一的数据采集、存储、分析与展示能力，打破传统信息孤岛，实现跨系统数据共享与业务联动。例如，当安防系统触发报警时，平台应能自动调取周边视频、联动门禁锁定、通知安保人员并同步显示在指挥大屏上；当能耗数据异常时，系统需能自动定位异常区域并推送告警至运维终端。同时，平台需提供面向管理者的决策支持工具，通过大数据分析生成园区运行报告，辅助优化资源配置。所有业务功能均需通过统一门户访问，支持PC端、移动端及大屏端多终端适配，确保管理效率与响应速度。</w:t>
      </w:r>
    </w:p>
    <w:p>
      <w:r>
        <w:rPr>
          <w:rFonts w:ascii="Times New Roman" w:hAnsi="Times New Roman" w:eastAsia="宋体"/>
          <w:b w:val="0"/>
          <w:sz w:val="24"/>
        </w:rPr>
        <w:t>为实现上述目标，项目建设必须严格遵循以下原则。第一，统一规划原则：园区信息化建设需从全局视角出发，制定统一的数据标准、接口规范、编码体系及安全策略，避免各子系统独立建设、重复投资。所有软硬件选型需符合整体架构规划，确保未来扩展时无需推翻重建。第二，分步实施原则：鉴于项目复杂度高、涉及子系统众多，建设过程需科学划分阶段，优先实施基础网络、安防、通行等核心模块，再逐步扩展至能耗优化、智能分析等增值功能。每个阶段需设定明确的里程碑与验收标准，确保投资快速见效，降低一次性大规模实施带来的风险。第三，安全可控原则：平台需构建纵深防御体系，涵盖物理安全、网络安全、数据安全与应用安全。所有数据交互需加密传输，关键操作需留存审计日志，系统需具备完善的权限分级管理机制。同时，核心设备与软件需优先选用国产化、自主可控产品，降低供应链风险，确保系统长期稳定运行。第四，适度超前原则：技术选型需具备前瞻性，兼顾未来3-5年技术发展趋势。例如，网络基础设施需支持IPv6及高带宽应用，平台架构需预留人工智能、数字孪生等新技术的接入能力。硬件设备需具备足够的处理性能与扩展接口，避免因性能瓶颈导致短期内重复改造。第五，开放兼容原则：平台需采用标准化、模块化设计，提供开放的API接口与SDK开发工具，支持与第三方系统（如消防、楼宇自控、办公OA等）便捷对接。数据格式需遵循主流行业标准，确保不同厂商设备间互联互通。同时，系统需支持主流云部署模式及混合云架构，兼容多种数据库与中间件，避免技术绑定。</w:t>
      </w:r>
    </w:p>
    <w:p>
      <w:r>
        <w:rPr>
          <w:rFonts w:ascii="Times New Roman" w:hAnsi="Times New Roman" w:eastAsia="宋体"/>
          <w:b w:val="0"/>
          <w:sz w:val="24"/>
        </w:rPr>
        <w:t>在具体实施路径上，项目将遵循“基础先行、应用深化、智慧提升”的递进策略。第一阶段重点完成园区综合布线、网络核心、数据中心机房及安防基础设备（如高清摄像机、门禁控制器）的部署，同步搭建综合管理平台的基础框架，实现各子系统的基础数据接入与统一展示。第二阶段深化各业务应用，包括能耗分项计量、停车诱导系统、一卡通电子支付及访客预约流程优化，并启动跨系统联动策略的配置与调试。第三阶段引入AI视频分析、人员轨迹追踪、设备预测性维护等高级功能，逐步实现从“被动管理”向“主动预防”的转变。每个阶段结束后，需组织第三方测试机构进行性能与安全评估，确保系统满足设计指标。</w:t>
      </w:r>
    </w:p>
    <w:p>
      <w:r>
        <w:rPr>
          <w:rFonts w:ascii="Times New Roman" w:hAnsi="Times New Roman" w:eastAsia="宋体"/>
          <w:b w:val="0"/>
          <w:sz w:val="24"/>
        </w:rPr>
        <w:t>此外，项目需特别强调数据治理与运维体系建设。平台需建立统一的数据资源目录，明确数据责任主体与更新频率，确保数据质量。同时，需配套建设运维管理子系统，实现对网络设备、服务器、摄像头等资产的实时监控与告警，支持运维工单的自动派发与闭环管理。所有系统操作均需符合国家网络安全等级保护三级标准要求，并定期开展渗透测试与应急演练。通过上述原则的严格贯彻与量化目标的逐项落实，本项目将最终建成一个技术领先、运行高效、安全可靠的智慧园区标杆工程，为园区管理者提供精准的决策依据，为入驻企业与人员提供便捷、智能的服务体验，全面支撑园区可持续发展战略。</w:t>
      </w:r>
    </w:p>
    <w:p>
      <w:r>
        <w:br w:type="page"/>
      </w:r>
    </w:p>
    <w:p>
      <w:pPr>
        <w:pStyle w:val="Heading1"/>
      </w:pPr>
      <w:r>
        <w:t>第四章 技术要求</w:t>
      </w:r>
    </w:p>
    <w:p>
      <w:pPr>
        <w:pStyle w:val="Heading3"/>
        <w:ind w:firstLine="0"/>
      </w:pPr>
      <w:r>
        <w:t>4.1 总体架构要求</w:t>
      </w:r>
    </w:p>
    <w:p>
      <w:r>
        <w:rPr>
          <w:rFonts w:ascii="Times New Roman" w:hAnsi="Times New Roman" w:eastAsia="宋体"/>
          <w:b w:val="0"/>
          <w:sz w:val="24"/>
        </w:rPr>
        <w:t>本项目智慧园区建设总体架构须遵循“感知层-网络层-平台层-应用层”四层逻辑架构，各层之间通过标准化接口实现纵向贯通与横向协同。感知层负责园区内各类物联终端、视频监控、环境传感器、能耗计量等前端设备的数据采集与指令执行，须支持不少于10种主流物联网通信协议（如MQTT、CoAP、Modbus-TCP、BACnet等），并具备边缘计算能力，可在网络中断时实现本地数据缓存与策略联动。网络层须构建覆盖园区全域的融合通信网络，包括有线骨干网、无线Wi-Fi 6覆盖、5G专网或切片、LoRa/NB-IoT低功耗广域网，并实现网络资源虚拟化与流量智能调度，保障关键业务低时延（端到端时延≤50ms）与高可靠性（链路可用率≥99.99%）。平台层作为整体架构的中枢，须采用微服务架构设计，将各业务功能模块化、服务化，支持按需独立部署与横向扩展，在并发用户数达到5000人时仍能保持响应时间≤2秒；同时须建设统一数据中台，汇聚感知层、业务系统及外部数据源，形成园区全域数据资产，提供数据治理、数据建模、数据服务与数据可视化能力，支撑上层应用的敏捷开发与智能决策。应用层须基于平台层能力，面向园区管理方、企业、员工及访客等不同角色，提供智慧安防、智慧能源、智慧通行、智慧运营、智慧服务等各类业务应用，并支持通过低代码/零代码工具快速构建新应用场景。</w:t>
      </w:r>
    </w:p>
    <w:p>
      <w:r>
        <w:rPr>
          <w:rFonts w:ascii="Times New Roman" w:hAnsi="Times New Roman" w:eastAsia="宋体"/>
          <w:b w:val="0"/>
          <w:sz w:val="24"/>
        </w:rPr>
        <w:t>平台层微服务架构须遵循高内聚、低耦合原则，每个微服务独立部署、独立扩展、独立容错，服务间通过轻量级API网关进行通信，支持服务注册发现、负载均衡、熔断限流、链路追踪等治理能力。微服务框架须选用业界成熟开源或商用方案（如Spring Cloud、Kubernetes+Docker容器化部署），并支持在物理机、虚拟机或混合云环境中灵活部署。横向扩展能力须通过无状态服务设计、分布式缓存（如Redis集群）、消息队列（如Kafka/RabbitMQ）削峰填谷以及数据库读写分离与分库分表机制实现，确保在业务高峰期（如园区大型活动期间，并发请求量达到每秒2000次）系统性能不出现明显劣化。同时，平台层须提供完善的DevOps工具链，支持CI/CD持续集成与持续交付，实现新版本灰度发布与快速回滚，保障系统迭代升级过程中的业务连续性。微服务架构须包含统一认证鉴权服务，支持OAuth2.0、JWT、SAML等多种认证协议，实现单点登录（SSO）与细粒度权限控制，权限模型须支持基于角色的访问控制（RBAC）与基于属性的访问控制（ABAC）相结合。</w:t>
      </w:r>
    </w:p>
    <w:p>
      <w:r>
        <w:rPr>
          <w:rFonts w:ascii="Times New Roman" w:hAnsi="Times New Roman" w:eastAsia="宋体"/>
          <w:b w:val="0"/>
          <w:sz w:val="24"/>
        </w:rPr>
        <w:t>统一数据中台建设须涵盖数据采集、数据存储、数据计算、数据服务与数据运营五个核心环节。数据采集层须支持结构化、半结构化与非结构化数据的实时与批量接入，实时接入能力须达到每秒处理5000条以上消息，批量接入支持TB级数据文件的高效导入。数据存储须采用分布式架构，包括关系型数据库（如MySQL集群、PostgreSQL）、分布式文件系统（如HDFS）、列式存储数据库（如ClickHouse、HBase）以及搜索引擎（如Elasticsearch），满足不同类型数据的存储与检索需求。数据计算须同时支持离线计算（如Spark）与实时流计算（如Flink），离线计算任务须在每日凌晨低峰期自动调度完成，实时计算延迟须控制在秒级以内。数据治理须建立统一的数据标准、数据质量规则与数据生命周期管理机制，确保数据完整性、准确性、一致性与及时性，数据质量合格率须达到95%以上。数据服务层须提供API服务、消息服务、文件服务等多种数据开放方式，并建立数据资产目录与数据血缘图谱，便于应用开发者快速检索与使用数据。数据运营须提供可视化数据大屏与自助分析工具，支持园区管理者从多维度（空间维度、时间维度、业务维度）洞察园区运行态势，辅助科学决策。</w:t>
      </w:r>
    </w:p>
    <w:p>
      <w:r>
        <w:rPr>
          <w:rFonts w:ascii="Times New Roman" w:hAnsi="Times New Roman" w:eastAsia="宋体"/>
          <w:b w:val="0"/>
          <w:sz w:val="24"/>
        </w:rPr>
        <w:t>对外接口能力方面，平台层须提供标准REST API与消息接口，所有API须遵循RESTful设计规范，使用HTTPS协议传输，采用JSON或XML数据格式，并支持OAuth2.0客户端凭证模式与授权码模式进行身份认证。API接口须具备完善的版本管理机制（如URL版本号或Header版本号），保证向后兼容，接口变更须提前至少30个自然日通知集成方。消息接口须支持主流消息队列协议（如AMQP、MQTT、Kafka原生协议），并支持发布/订阅与点对点两种消息传递模式，消息投递可靠性须达到至少一次（At-Least-Once）语义，关键业务消息须支持事务消息与死信队列重试机制。所有对外接口须提供在线API文档（如Swagger/OpenAPI 3.0规范），包含接口说明、请求参数、响应示例、错误码定义及调用频率限制说明。接口开放能力须支持第三方系统（如政府监管平台、企业ERP、物业管理系统、智能硬件厂商云平台等）便捷接入，提供沙箱测试环境与模拟数据，便于集成方在正式上线前完成联调测试。同时，平台须提供接口调用监控与统计功能，实时展示各接口的调用量、成功率、平均响应时间、错误分布等指标，并支持设置告警阈值，当接口异常时自动触发告警通知。为保障接口安全，须提供IP白名单、访问令牌（Token）有效期管理、接口调用频率限制（如每秒不超过100次）、敏感数据脱敏等安全防护措施，并支持接口调用日志的完整记录与审计追溯，日志保存期限不少于180天。</w:t>
      </w:r>
    </w:p>
    <w:p>
      <w:r>
        <w:rPr>
          <w:rFonts w:ascii="Times New Roman" w:hAnsi="Times New Roman" w:eastAsia="宋体"/>
          <w:b w:val="0"/>
          <w:sz w:val="24"/>
        </w:rPr>
        <w:t>总体架构设计须充分考虑系统的可扩展性、可用性、安全性与可维护性。可扩展性方面，除平台层微服务横向扩展外，感知层设备接入能力须支持动态扩容，新增设备类型或数量时无需中断现有业务；应用层功能模块须支持插件化扩展，新业务应用可通过标准接口快速挂载。可用性方面，核心服务须采用多副本部署，关键数据须实现实时备份与异地容灾，系统整体可用性须达到99.99%，年计划外停机时间不超过53分钟。安全性方面，须遵循等级保护三级要求，从物理安全、网络安全、主机安全、应用安全、数据安全五个层面构建纵深防御体系，并部署Web应用防火墙、入侵检测系统、漏洞扫描系统、日志审计系统等安全设施。可维护性方面，须提供统一的运维监控平台，对基础设施、网络、中间件、应用服务、接口调用等进行全链路监控，支持告警分级与自动化运维脚本，降低人工运维成本。此外，总体架构须具备良好的开放性与兼容性，支持与园区既有信息系统（如OA、财务、人力资源系统）平滑对接，并预留与未来扩展系统（如城市级智慧城市平台）的接口能力，确保本项目建设成果能够长期演进、持续发挥效益。</w:t>
      </w:r>
    </w:p>
    <w:p>
      <w:pPr>
        <w:pStyle w:val="Heading3"/>
        <w:ind w:firstLine="0"/>
      </w:pPr>
      <w:r>
        <w:t>4.2 平台功能要求</w:t>
      </w:r>
    </w:p>
    <w:p>
      <w:r>
        <w:rPr>
          <w:rFonts w:ascii="Times New Roman" w:hAnsi="Times New Roman" w:eastAsia="宋体"/>
          <w:b w:val="0"/>
          <w:sz w:val="24"/>
        </w:rPr>
        <w:t>投标人提供的智慧园区管理平台应具备全面、开放、可扩展的功能架构，能够有效整合园区内各类智能化子系统，实现数据互联互通与业务协同联动。平台需基于B/S架构设计，支持主流浏览器访问，并采用模块化、组件化开发模式，便于后续功能升级与维护。平台核心功能应涵盖综合安防、人员管理、设备管理、能耗管理、运维管理及数据分析等模块，各模块间应实现数据共享与业务联动，形成统一的园区管理视图。平台应具备高可用性设计，关键服务支持负载均衡与故障自动切换，确保系统7×24小时稳定运行，年可用性不低于99.9%。同时，平台应提供标准化的北向接口（如RESTful API、消息队列等），支持与上级管理平台或第三方业务系统进行数据对接与集成。</w:t>
      </w:r>
    </w:p>
    <w:p>
      <w:r>
        <w:rPr>
          <w:rFonts w:ascii="Times New Roman" w:hAnsi="Times New Roman" w:eastAsia="宋体"/>
          <w:b w:val="0"/>
          <w:sz w:val="24"/>
        </w:rPr>
        <w:t>平台应支持人脸识别功能，实现园区人员身份识别及统一管理（★条款）。该功能需基于深度学习算法，支持对园区内员工、访客、临时人员等不同类别人员进行人脸特征采集、建模与比对，识别准确率不低于99%，识别响应时间不超过1秒。平台应支持人脸抓拍机、人脸门禁终端、人脸闸机等多种前端设备的接入，实现人员进出园区的无感通行与轨迹记录。同时，平台应建立统一的人员信息库，支持人员基础信息、人脸照片、证件信息、部门归属、通行权限等属性的集中维护与动态更新，并支持与考勤系统、访客系统、消费系统等业务应用联动，实现人员身份信息的一次录入、多处复用。针对黑名单人员或重点关注人员，平台应支持实时布控与告警，告警信息应包含抓拍图片、位置信息及时间戳，并支持在电子地图上进行弹窗提示与轨迹回放。人脸识别相关功能模块应提供完整的日志记录，确保操作可追溯，满足信息安全等级保护要求。</w:t>
      </w:r>
    </w:p>
    <w:p>
      <w:r>
        <w:rPr>
          <w:rFonts w:ascii="Times New Roman" w:hAnsi="Times New Roman" w:eastAsia="宋体"/>
          <w:b w:val="0"/>
          <w:sz w:val="24"/>
        </w:rPr>
        <w:t>平台应支持不少于1000台（个）设备的接入管理，设备类型涵盖视频监控摄像机、人脸抓拍机、门禁控制器、入侵报警探测器、电子巡更点、消防主机、电梯控制器、停车场道闸、环境传感器（温湿度、PM2.5、水浸、烟感等）、能耗采集器（电表、水表、气表）等各类物联网终端。平台应采用设备抽象层设计，屏蔽不同厂商、不同协议（如ONVIF、GB/T 28181、Modbus、BACnet、MQTT等）的差异，实现设备的统一接入、统一配置、统一监控与统一管理。平台应支持设备自动发现与批量注册功能，提供设备分组、标签化管理，便于按区域、类型、责任部门等维度进行检索与筛选。平台应实时采集设备运行状态信息（在线/离线、故障/正常、电量/信号强度等），并以列表、图表、拓扑图等形式进行可视化展示。当设备发生离线、故障或异常告警时，平台应能自动生成工单并通知相关责任人，支持告警确认、派单、处理、反馈的闭环管理流程。平台还应提供设备远程运维能力，包括远程参数配置、固件升级、重启操作等，并记录所有操作日志，确保设备全生命周期管理有据可查。</w:t>
      </w:r>
    </w:p>
    <w:p>
      <w:r>
        <w:rPr>
          <w:rFonts w:ascii="Times New Roman" w:hAnsi="Times New Roman" w:eastAsia="宋体"/>
          <w:b w:val="0"/>
          <w:sz w:val="24"/>
        </w:rPr>
        <w:t>平台应支持不少于500个并发用户的同时在线访问，且在高并发场景下，页面响应时间不超过3秒，关键操作（如实时视频调阅、人脸检索、报表查询等）响应时间不超过5秒。平台应采用高性能的数据库集群与缓存机制（如Redis），对热点数据进行内存级缓存，有效分担数据库读写压力。同时，平台应支持Web应用集群部署，通过负载均衡策略将用户请求分发至多个应用节点，确保系统在用户数增长时具备水平扩展能力。平台应提供统一的门户界面，支持用户个性化工作台定制，包括常用功能快捷入口、待办事项提醒、告警消息推送等。针对不同角色（如园区管理者、安保人员、运维人员、普通员工等），平台应展示差异化的功能菜单与数据视图，提升用户操作效率与体验。平台应支持PC端、移动端（iOS/Android）及大屏端多终端适配，移动端应支持主要业务功能的操作，如实时视频查看、告警接收与处理、设备状态查询、工单流转等，确保管理人员随时随地掌握园区运行态势。</w:t>
      </w:r>
    </w:p>
    <w:p>
      <w:r>
        <w:rPr>
          <w:rFonts w:ascii="Times New Roman" w:hAnsi="Times New Roman" w:eastAsia="宋体"/>
          <w:b w:val="0"/>
          <w:sz w:val="24"/>
        </w:rPr>
        <w:t>平台应支持统一身份认证与分级权限管理，建立基于角色的访问控制（RBAC）模型，实现用户身份的全生命周期管理。平台应支持本地账号、LDAP/AD域、OAuth2.0、CAS等多种认证方式，并支持多因素认证（如密码+短信验证码、密码+动态令牌等），确保用户身份认证的安全性与可靠性。平台应提供细粒度的权限控制能力，权限维度应涵盖功能权限（菜单、按钮、API接口）、数据权限（按区域、部门、设备分组等）及操作权限（查看、编辑、删除、导出等），并支持权限的继承、互斥与临时授权。平台应支持分级管理架构，可设置超级管理员、系统管理员、安全管理员、审计管理员、普通用户等角色，各角色权限相互独立、相互制约。所有用户的登录、登出、权限变更、敏感操作（如删除记录、修改配置、导出数据等）均应记录完整审计日志，日志保存时间不少于180天，并支持日志的检索、导出与备份。平台应支持用户会话管理，包括会话超时自动退出、单点登录（SSO）及并发会话数限制，防止未授权访问与越权操作。此外，平台应提供密码策略管理功能，支持密码复杂度校验、定期更换提醒及密码错误锁定机制，全面保障平台访问安全。</w:t>
      </w:r>
    </w:p>
    <w:p>
      <w:pPr>
        <w:pStyle w:val="Heading3"/>
        <w:ind w:firstLine="0"/>
      </w:pPr>
      <w:r>
        <w:t>4.3 数据与安全要求</w:t>
      </w:r>
    </w:p>
    <w:p>
      <w:r>
        <w:rPr>
          <w:rFonts w:ascii="Times New Roman" w:hAnsi="Times New Roman" w:eastAsia="宋体"/>
          <w:b w:val="0"/>
          <w:sz w:val="24"/>
        </w:rPr>
        <w:t>本项目涉及智慧园区运营管理、企业服务、安防监控、能耗管理等多类业务系统，数据采集、传输、存储、使用、共享及销毁等全生命周期环节均须遵循国家及行业相关法律法规、标准规范及招标文件要求。投标人应依据园区实际业务需求，建立统一、完整、可扩展的数据标准体系，确保各子系统间数据语义一致、格式统一、接口规范，避免形成信息孤岛。数据标准应涵盖数据元定义、编码规则、分类分级、质量要求、交换格式及元数据管理等内容，并应结合园区后续扩展需求预留灵活调整空间。所有数据标准文件须经招标人审核确认后方可实施，实施过程中如需变更，须履行正式变更审批程序。</w:t>
      </w:r>
    </w:p>
    <w:p>
      <w:r>
        <w:rPr>
          <w:rFonts w:ascii="Times New Roman" w:hAnsi="Times New Roman" w:eastAsia="宋体"/>
          <w:b w:val="0"/>
          <w:sz w:val="24"/>
        </w:rPr>
        <w:t>为实现跨部门、跨系统数据共享与业务协同，投标人须建设统一的数据共享交换平台，提供标准化、可配置的数据服务接口，支持实时、准实时及批量等多种数据交换模式。数据共享交换应遵循“一数一源、一源多用”原则，明确各数据项的责任主体、共享范围、使用权限及更新频率，确保数据来源唯一、口径统一、更新及时。共享交换平台应具备数据脱敏、数据校验、异常告警、交换监控及日志记录等功能，保障数据在交换过程中的完整性、一致性与可追溯性。对于涉及个人隐私、商业秘密或敏感信息的数据，须在共享前完成脱敏处理，并严格限定使用范围，防止数据滥用或泄露。</w:t>
      </w:r>
    </w:p>
    <w:p>
      <w:r>
        <w:rPr>
          <w:rFonts w:ascii="Times New Roman" w:hAnsi="Times New Roman" w:eastAsia="宋体"/>
          <w:b w:val="0"/>
          <w:sz w:val="24"/>
        </w:rPr>
        <w:t>数据存储与备份方面，投标人须建立分级分类存储机制，根据数据重要程度、敏感级别及业务连续性要求，合理选择本地存储、异地备份或云存储等策略。对于园区运营核心业务数据、企业档案数据、安防监控录像、能耗计量数据等重要数据，须每日执行全量备份，备份数据应保存不少于180天，并定期进行恢复演练，确保备份数据的可用性与完整性。备份系统应具备自动巡检、故障告警及备份策略动态调整能力，备份介质须符合安全保密要求，存放环境应具备防火、防水、防磁、防潮等条件。同时，应建立数据容灾机制，关键业务系统数据须实现异地容灾备份，恢复时间目标（RTO）不超过2小时，恢复点目标（RPO）不超过24小时，确保在突发灾难或系统故障情况下能够快速恢复业务运行。</w:t>
      </w:r>
    </w:p>
    <w:p>
      <w:r>
        <w:rPr>
          <w:rFonts w:ascii="Times New Roman" w:hAnsi="Times New Roman" w:eastAsia="宋体"/>
          <w:b w:val="0"/>
          <w:sz w:val="24"/>
        </w:rPr>
        <w:t>在数据质量管理方面，投标人应建立数据质量监控与治理机制，对数据完整性、准确性、一致性、时效性及唯一性进行持续监测与评估。应制定数据质量考核指标，定期生成数据质量报告，对发现的数据问题及时溯源并整改。数据质量管理应覆盖数据采集、清洗、转换、加载、使用及归档全过程，确保进入数据仓库或数据湖的数据满足业务分析及决策支持要求。对于历史数据迁移，投标人须制定详细的数据迁移方案，包括数据抽取、清洗、转换、校验及回退策略，迁移过程中不得丢失或损坏任何数据，迁移完成后须经招标人组织专项验收。</w:t>
      </w:r>
    </w:p>
    <w:p>
      <w:r>
        <w:rPr>
          <w:rFonts w:ascii="Times New Roman" w:hAnsi="Times New Roman" w:eastAsia="宋体"/>
          <w:b w:val="0"/>
          <w:sz w:val="24"/>
        </w:rPr>
        <w:t>系统安全保护等级方面，本项目所有涉及园区运营管理、企业服务、安防监控、能耗管理等核心业务的信息系统，其安全保护等级均不得低于网络安全等级保护第三级（等保三级）要求。投标人须依据《信息安全技术 网络安全等级保护基本要求》（GB/T 22239-2019）及《信息安全技术 网络安全等级保护定级指南》（GB/T 22240-2020）等标准，完成系统定级、备案、建设整改及等级测评工作，并确保测评结果达到合格标准。安全防护体系应涵盖物理环境安全、通信网络安全、区域边界安全、计算环境安全及管理中心安全等多个层面，部署防火墙、入侵检测与防御系统、防病毒系统、安全审计系统、漏洞扫描系统、堡垒机等安全设备，并建立统一的安全管理平台，实现安全策略集中管控、安全事件统一收集与关联分析。</w:t>
      </w:r>
    </w:p>
    <w:p>
      <w:r>
        <w:rPr>
          <w:rFonts w:ascii="Times New Roman" w:hAnsi="Times New Roman" w:eastAsia="宋体"/>
          <w:b w:val="0"/>
          <w:sz w:val="24"/>
        </w:rPr>
        <w:t>在密码应用方面，本项目须满足商用密码应用安全性评估要求，投标人应依据《信息安全技术 信息系统密码应用基本要求》（GB/T 39786-2021）及《商用密码应用安全性评估管理办法》等相关规定，在系统设计、建设及运行阶段同步规划、同步建设、同步运行密码保障措施。密码应用应覆盖物理和环境安全、网络和通信安全、设备和计算安全、应用和数据安全等层面，采用合规的商用密码算法、密码产品及密码服务，确保数据传输、存储、身份认证、访问控制及电子签名的机密性、完整性和抗抵赖性。投标人须委托具备资质的测评机构开展商用密码应用安全性评估，并确保评估结果达到合规要求，对评估发现的问题须限期整改闭环。</w:t>
      </w:r>
    </w:p>
    <w:p>
      <w:r>
        <w:rPr>
          <w:rFonts w:ascii="Times New Roman" w:hAnsi="Times New Roman" w:eastAsia="宋体"/>
          <w:b w:val="0"/>
          <w:sz w:val="24"/>
        </w:rPr>
        <w:t>审计日志管理方面，投标人须提供完整、不可篡改的审计日志功能，覆盖所有用户操作、系统管理操作、数据访问与变更操作、安全事件及异常行为等。审计日志内容应至少包括操作时间、操作人员、操作对象、操作类型、操作结果、源IP地址、终端标识等关键信息，日志记录须实时生成并同步存储至独立的安全审计系统。审计日志保存期限不得少于180天，重要系统日志及安全事件日志保存期限不得少于365天，日志存储介质须具备防篡改、防删除、防导出等安全措施。应建立日志集中管理平台，支持日志收集、解析、关联分析、检索查询及报表生成，并设置异常行为告警规则，对暴力破解、越权访问、批量数据导出等高风险操作实时告警。审计日志仅授权特定安全管理人员可访问，任何对日志的修改、删除或覆盖操作均须触发告警并记录在案，确保日志的完整性、真实性和可追溯性。</w:t>
      </w:r>
    </w:p>
    <w:p>
      <w:r>
        <w:rPr>
          <w:rFonts w:ascii="Times New Roman" w:hAnsi="Times New Roman" w:eastAsia="宋体"/>
          <w:b w:val="0"/>
          <w:sz w:val="24"/>
        </w:rPr>
        <w:t>此外，投标人须建立完善的信息安全管理制度体系，包括安全策略、操作规程、应急预案及安全培训等，并配备专职安全管理人员。应定期开展安全风险评估、漏洞扫描及渗透测试，至少每季度进行一次，重大活动或重要时期须加强安全防护措施。对于发现的安全漏洞和风险隐患，须在规定时限内完成整改，并形成闭环管理记录。同时，投标人须配合招标人完成等保测评、密码评估、安全审计及上级主管部门的安全检查工作，提供必要的技术文档、配置说明及人员支持。在项目验收阶段，投标人须提交完整的安全建设文档，包括安全设计方案、安全配置手册、安全测试报告、等保测评报告、密码评估报告、审计日志管理说明及安全运维手册等，确保项目安全交付及后续运维有据可依。</w:t>
      </w:r>
    </w:p>
    <w:p>
      <w:r>
        <w:rPr>
          <w:rFonts w:ascii="Times New Roman" w:hAnsi="Times New Roman" w:eastAsia="宋体"/>
          <w:b w:val="0"/>
          <w:sz w:val="24"/>
        </w:rPr>
        <w:t>在数据安全与个人信息保护方面，投标人须严格遵守《中华人民共和国数据安全法》《中华人民共和国个人信息保护法》及《信息安全技术 个人信息安全规范》（GB/T 35273-2020）等法律法规和标准要求，建立数据分类分级保护制度，对重要数据和核心数据实施重点保护。涉及个人信息采集、存储、使用、加工、传输、提供、公开等处理活动，须遵循合法、正当、必要原则，明示处理目的和方式，取得个人同意，并采取必要安全措施保障个人信息安全。数据对外提供或委托处理时，须签订数据安全协议，明确安全责任和义务，并对数据处理活动进行安全监督。发生数据安全事件时，须立即启动应急预案，采取补救措施，并按规定向有关主管部门报告，不得隐瞒、谎报或迟报。</w:t>
      </w:r>
    </w:p>
    <w:p>
      <w:r>
        <w:rPr>
          <w:rFonts w:ascii="Times New Roman" w:hAnsi="Times New Roman" w:eastAsia="宋体"/>
          <w:b w:val="0"/>
          <w:sz w:val="24"/>
        </w:rPr>
        <w:t>最后，投标人应提供详细的数据与安全实施方案，包括数据治理组织架构、数据标准落地计划、数据共享交换实施步骤、备份恢复策略、安全防护体系设计、密码应用方案、审计日志管理流程及安全运维保障措施等，并明确各项工作的责任人员、时间节点及交付成果。实施方案须经招标人评审通过后方可实施，实施过程中如遇重大调整，须重新报审。投标人应承诺在项目质保期内提供持续的数据与安全优化服务，包括数据质量提升、安全策略调整、漏洞修复、日志审计分析及安全事件响应等，确保系统长期稳定、安全、合规运行。</w:t>
      </w:r>
    </w:p>
    <w:p>
      <w:pPr>
        <w:pStyle w:val="Heading3"/>
        <w:ind w:firstLine="0"/>
      </w:pPr>
      <w:r>
        <w:t>4.4 性能、接口与国产化要求</w:t>
      </w:r>
    </w:p>
    <w:p>
      <w:r>
        <w:rPr>
          <w:rFonts w:ascii="Times New Roman" w:hAnsi="Times New Roman" w:eastAsia="宋体"/>
          <w:b w:val="0"/>
          <w:sz w:val="24"/>
        </w:rPr>
        <w:t>本项目建设系统须满足高可用性与高性能运行要求，整体系统可用性指标不得低于99.9%，即全年因系统故障、维护或升级等原因导致的服务中断时间累计不得超过8.76小时。系统核心业务功能（包括但不限于设备管理、告警处理、工单流转、数据查询等）的一般业务操作响应时间应不超过3秒，复杂报表生成、跨系统数据聚合等非实时性操作响应时间可适当放宽，但须在需求规格说明书中明确具体时限。系统应具备负载均衡与故障自动切换能力，关键服务节点须采用集群化部署，确保在单点故障情况下业务不中断，且系统性能指标不因故障切换而显著下降。同时，系统应提供完善的性能监控与预警机制，能够实时采集各服务节点、数据库、中间件及网络链路的运行状态数据，并设定合理的性能阈值，当指标接近或超出阈值时自动触发告警，保障系统长期稳定运行。</w:t>
      </w:r>
    </w:p>
    <w:p>
      <w:r>
        <w:rPr>
          <w:rFonts w:ascii="Times New Roman" w:hAnsi="Times New Roman" w:eastAsia="宋体"/>
          <w:b w:val="0"/>
          <w:sz w:val="24"/>
        </w:rPr>
        <w:t>在接口与协议兼容性方面，系统须遵循国家及行业相关标准规范，实现与既有及未来扩展的各类子系统、终端设备及第三方平台的无缝对接。视频监控系统接口必须严格符合GB/T 28181《公共安全视频监控联网系统信息传输、交换、控制技术要求》标准，支持基于该标准的级联、互联及平台间信令交互，确保视频流、控制指令及设备目录信息的标准化传输。同时，所有前端视频采集设备（包括网络摄像机、球机、半球等）的接入须支持ONVIF（开放网络视频接口论坛）协议，实现设备发现、媒体配置、PTZ控制、事件订阅等功能的标准化操作，避免因私有协议导致设备兼容性受限。除视频监控外，系统还应提供通用数据接口，包括但不限于RESTful API、消息队列（如Kafka、RabbitMQ）及数据库直连等方式，以支撑与园区能耗管理、消防报警、门禁一卡通、停车管理、信息发布等子系统的数据交互。所有接口须提供完整的接口文档，明确数据字段定义、传输格式、调用频率限制及错误码说明，并支持接口调用日志记录，便于后期审计与问题追溯。</w:t>
      </w:r>
    </w:p>
    <w:p>
      <w:r>
        <w:rPr>
          <w:rFonts w:ascii="Times New Roman" w:hAnsi="Times New Roman" w:eastAsia="宋体"/>
          <w:b w:val="0"/>
          <w:sz w:val="24"/>
        </w:rPr>
        <w:t>为响应国家信息技术应用创新（信创）战略要求，本系统须全面支持国产化软硬件环境部署，确保在信创技术栈下功能完整、性能达标、运行稳定。系统服务器端须支持在国产CPU架构（包括但不限于鲲鹏、飞腾、龙芯、海光、申威等）上运行，操作系统须兼容国产主流服务器操作系统（如麒麟、统信UOS、欧拉openEuler等），并须提供在上述环境下的实际部署测试报告。数据库层面，系统须支持国产关系型数据库（如达梦、人大金仓、神通、GaussDB等），所有数据访问层须采用标准SQL及通用数据库访问接口，避免使用特定数据库的私有特性，确保数据库切换时无需修改业务代码或仅需最小化配置调整。中间件方面，系统须兼容国产中间件产品（如东方通TongWeb、金蝶天燕Apusic、宝兰德等），应用服务器须支持标准Java EE或Jakarta EE规范，消息中间件、缓存中间件亦须提供国产化替代方案。系统前端及客户端应支持在国产浏览器（如奇安信、360安全浏览器等）及国产终端操作系统上正常访问与操作，界面显示、交互功能及性能不得因浏览器差异而受影响。投标人须在投标文件中详细说明其产品在信创环境下的适配情况，包括已完成的兼容性认证、典型部署案例及性能测试数据，并承诺在项目实施过程中配合完成信创环境适配与调优工作。此外，系统架构设计须具备良好的可移植性，各软件组件应解耦设计，避免对特定硬件或基础软件的强依赖，以保障未来信创技术路线演进时的平滑升级与迁移能力。</w:t>
      </w:r>
    </w:p>
    <w:p>
      <w:r>
        <w:br w:type="page"/>
      </w:r>
    </w:p>
    <w:p>
      <w:pPr>
        <w:pStyle w:val="Heading1"/>
      </w:pPr>
      <w:r>
        <w:t>第五章 功能要求</w:t>
      </w:r>
    </w:p>
    <w:p>
      <w:pPr>
        <w:pStyle w:val="Heading3"/>
        <w:ind w:firstLine="0"/>
      </w:pPr>
      <w:r>
        <w:t>5.1 智慧安防与智慧通行系统</w:t>
      </w:r>
    </w:p>
    <w:p>
      <w:r>
        <w:rPr>
          <w:rFonts w:ascii="Times New Roman" w:hAnsi="Times New Roman" w:eastAsia="宋体"/>
          <w:b w:val="0"/>
          <w:sz w:val="24"/>
        </w:rPr>
        <w:t>本节所述智慧安防与智慧通行系统，是园区安全防范体系的核心组成部分，旨在通过集成化的技术手段，构建一个覆盖园区全域、全时段、多维度的立体化安全防护网络。系统建设须遵循“统一规划、统一标准、互联互通、资源共享”的原则，确保各子系统间的高效协同与数据联动。投标人应依据本文件要求，提供完整、先进、稳定且具备良好扩展性的解决方案，并确保所有软硬件产品均符合国家相关标准及行业规范，能够无缝融入园区整体智能化管理平台。系统设计应充分考虑未来业务发展需求，预留充分的接口与容量，以支持后续功能升级与规模扩展。</w:t>
      </w:r>
    </w:p>
    <w:p>
      <w:r>
        <w:rPr>
          <w:rFonts w:ascii="Times New Roman" w:hAnsi="Times New Roman" w:eastAsia="宋体"/>
          <w:b w:val="0"/>
          <w:sz w:val="24"/>
        </w:rPr>
        <w:t>视频监控子系统作为智慧安防的视觉基础，须实现园区公共区域、出入口、周界、重点部位及地下车库等场景的全覆盖、无死角监控。前端设备应采用不低于400万像素的网络摄像机，具备超低照度、宽动态、智能编码等特性，确保在各种光线及天气条件下均能获取清晰、细腻的图像资料。对于关键区域，如园区主要出入口、财务室、数据中心机房等，应配置高清人脸抓拍机或全局摄像机，以满足智能分析需求。所有视频数据须接入统一的视频管理平台，实现实时预览、录像回放、云台控制、报警联动等功能。视频存储容量须满足不少于90天的全天候不间断录像要求，存储系统应采用冗余设计，具备较高的读写性能与数据安全性，防止数据丢失。同时，系统应支持根据实际需要灵活调整存储策略，如对重点区域采用更高帧率或码率存储，对普通区域采用动态调整，以优化存储资源利用。</w:t>
      </w:r>
    </w:p>
    <w:p>
      <w:r>
        <w:rPr>
          <w:rFonts w:ascii="Times New Roman" w:hAnsi="Times New Roman" w:eastAsia="宋体"/>
          <w:b w:val="0"/>
          <w:sz w:val="24"/>
        </w:rPr>
        <w:t>门禁管理系统是控制园区物理进出权限的关键环节，其设计须兼顾安全性与便捷性。系统应覆盖园区各主要出入口、楼栋单元门、重要设备间及办公区域，实现对人员通行权限的精细化管控。所有门禁点应支持多种认证方式的灵活组合，至少包括刷卡（支持IC卡、CPU卡及手机NFC模拟卡）、人脸识别、二维码（动态二维码）等主流认证技术，并支持在紧急情况下通过管理平台远程开启或关闭指定门点。门禁控制器应具备脱机运行能力，确保在网络中断时仍能维持基本的通行授权与记录功能。系统须与消防报警系统联动，当发生火警时，自动释放所有相关通道的门锁，确保人员安全疏散。同时，门禁系统应能实时记录所有通行事件，包括持卡人信息、通行时间、门点位置及认证方式等，为事后追溯提供完整数据依据。管理平台应支持多级权限设置，不同层级的管理人员可操作不同的功能模块与门点范围。</w:t>
      </w:r>
    </w:p>
    <w:p>
      <w:r>
        <w:rPr>
          <w:rFonts w:ascii="Times New Roman" w:hAnsi="Times New Roman" w:eastAsia="宋体"/>
          <w:b w:val="0"/>
          <w:sz w:val="24"/>
        </w:rPr>
        <w:t>人脸识别通行子系统作为提升园区通行效率与安全层级的重要工具，应基于深度学习算法，实现高精度、快速的人脸检测、跟踪与识别。系统须支持白名单比对功能，即预先录入园区员工、常驻人员的人脸信息，当人员经过部署有人脸识别终端的通道时，系统自动完成身份验证并放行，全程无需人工干预，通行速度应满足高峰时段的人员流动需求。同时，系统须具备陌生人预警功能，当检测到未在白名单内的人脸时，系统应立即触发告警，并将抓拍图片及视频片段推送至安防管理平台，提醒安保人员关注。人脸识别终端应具备防照片、防视频等假体攻击能力，确保识别的安全性与可靠性。此外，系统应支持与访客管理系统联动，实现访客的线上预约与现场快速核验通行。访客可通过移动端小程序或H5页面提前提交访问申请，填写受访人、访问事由、访问时段等信息，经受访人审批通过后，系统生成临时通行权限。访客到访时，可通过人脸识别或动态二维码在授权区域内通行，其活动轨迹应能被系统有效记录与追踪。</w:t>
      </w:r>
    </w:p>
    <w:p>
      <w:r>
        <w:rPr>
          <w:rFonts w:ascii="Times New Roman" w:hAnsi="Times New Roman" w:eastAsia="宋体"/>
          <w:b w:val="0"/>
          <w:sz w:val="24"/>
        </w:rPr>
        <w:t>访客管理作为园区对外服务的重要窗口，其流程设计须体现高效与规范。系统应提供完善的线上预约平台，支持访客自助登记、受访人审批、预约信息查询与取消等功能。预约审批流程应支持PC端与移动端操作，审批结果需实时通知访客。系统应支持黑名单管理，对存在不良记录的访客进行拦截。访客在授权访问期间，其门禁通行权限应严格限定在预约的楼层与区域，超范围通行将触发告警。同时，系统应记录访客从预约、审批、到访、离开的全流程数据，形成闭环管理，便于园区管理者进行统计分析，优化访客接待流程。此外，访客管理系统还应与车辆管理系统联动，实现访客车辆的预约入园与车位引导，提升整体访客体验。</w:t>
      </w:r>
    </w:p>
    <w:p>
      <w:r>
        <w:rPr>
          <w:rFonts w:ascii="Times New Roman" w:hAnsi="Times New Roman" w:eastAsia="宋体"/>
          <w:b w:val="0"/>
          <w:sz w:val="24"/>
        </w:rPr>
        <w:t>智慧安防与智慧通行系统并非孤立运行，须通过集成平台实现各子系统间的数据融合与业务协同。视频监控系统应能接收门禁、人脸识别、访客管理等子系统产生的报警事件，并自动调取相关视频画面进行复核与跟踪。例如，当门禁系统检测到非法闯入或暴力破坏时，视频监控应自动切换至对应点位并进行录像；当人脸识别系统发出陌生人预警时，系统应能联动周边摄像机进行目标锁定与轨迹追踪。所有系统应统一接入园区综合管理平台，实现统一的用户认证、权限管理、设备管理与数据展示。平台应提供电子地图功能，以可视化方式展示各安防设备的分布状态与实时告警信息。同时，系统应具备完善的日志管理功能，对操作行为、报警事件、设备状态等进行全面记录，确保系统运行的可追溯性。系统还应支持与上级管理平台或公安部门相关系统的数据对接接口，满足监管要求。</w:t>
      </w:r>
    </w:p>
    <w:p>
      <w:r>
        <w:rPr>
          <w:rFonts w:ascii="Times New Roman" w:hAnsi="Times New Roman" w:eastAsia="宋体"/>
          <w:b w:val="0"/>
          <w:sz w:val="24"/>
        </w:rPr>
        <w:t>在系统性能与可靠性方面，所有核心设备与服务器均应采用工业级或企业级产品，具备7×24小时不间断运行能力。网络传输应采用冗余链路设计，关键线路具备故障自动切换功能，确保数据传输的稳定性与实时性。管理平台软件应具备高可用性架构，支持负载均衡与故障转移。系统应具备完善的运维管理功能，包括设备状态监测、故障告警、远程配置、批量升级等，降低日常运维成本。同时，系统应具备良好的扩展性，支持未来新增监控点位、门禁点及新功能模块的平滑接入，无需对现有架构进行大规模改动。投标人应提供详细的系统实施方案、测试方案、培训方案及售后服务方案，确保系统建设质量与后期运行维护的及时性。所有系统数据应进行定期备份，并制定相应的数据恢复预案，以应对突发数据安全事件。</w:t>
      </w:r>
    </w:p>
    <w:p>
      <w:r>
        <w:rPr>
          <w:rFonts w:ascii="Times New Roman" w:hAnsi="Times New Roman" w:eastAsia="宋体"/>
          <w:b w:val="0"/>
          <w:sz w:val="24"/>
        </w:rPr>
        <w:t>综上所述，智慧安防与智慧通行系统的建设，将全面提升园区的安全防范水平与通行管理效率，为园区内人员、财产及信息安全提供坚实保障。投标人应深刻理解本项目的建设目标与技术要求，结合自身技术优势与项目经验，提供切实可行、技术领先、经济合理的整体解决方案。方案中涉及的所有设备型号、软件版本及技术参数，均须在投标文件中明确列出，并保证与实际供货产品一致。系统最终验收将依据本文件要求及国家相关标准执行，确保系统功能完备、性能达标、运行稳定。</w:t>
      </w:r>
    </w:p>
    <w:p>
      <w:pPr>
        <w:pStyle w:val="Heading3"/>
        <w:ind w:firstLine="0"/>
      </w:pPr>
      <w:r>
        <w:t>5.2 智慧能耗与智慧停车系统</w:t>
      </w:r>
    </w:p>
    <w:p>
      <w:r>
        <w:rPr>
          <w:rFonts w:ascii="Times New Roman" w:hAnsi="Times New Roman" w:eastAsia="宋体"/>
          <w:b w:val="0"/>
          <w:sz w:val="24"/>
        </w:rPr>
        <w:t>本节所述智慧能耗与智慧停车系统，是智慧园区建设的重要组成部分，旨在通过信息化手段实现园区能源资源的高效配置与停车资源的精细化管理。投标人应依据本文件要求，提供完整、先进、稳定且可扩展的系统解决方案，并确保所供系统能与园区其他智能化子系统实现无缝对接与数据共享。系统建设应遵循国家及行业相关标准规范，充分考虑节能环保、运行安全及后期维护的便捷性，为园区运营方提供科学、量化的决策支持工具。</w:t>
      </w:r>
    </w:p>
    <w:p>
      <w:r>
        <w:rPr>
          <w:rFonts w:ascii="Times New Roman" w:hAnsi="Times New Roman" w:eastAsia="宋体"/>
          <w:b w:val="0"/>
          <w:sz w:val="24"/>
        </w:rPr>
        <w:t>智慧能耗管理系统需实现对园区内水、电等主要能源介质的分类、分项计量与在线监测。系统应基于物联网架构，在园区各单体建筑、楼层及关键用能设备（如空调主机、电梯、水泵等）处部署智能远传水表、电表及数据采集器，计量精度应满足国家相关计量器具标准。采集数据应实时上传至能耗管理平台，平台需具备强大的数据处理能力，支持对能耗数据进行按日、月、年及任意时段的统计、对比与分析，并自动生成各类能耗报表和趋势图。系统应能识别异常用能情况，如夜间用水量突增、设备待机能耗过高等，并触发分级告警，告警信息需通过平台弹窗、短信或移动端应用等多种方式及时推送至相关管理人员。此外，系统应支持对单位面积能耗、人均能耗等关键指标进行对标分析，为园区节能改造和能源审计提供数据支撑。</w:t>
      </w:r>
    </w:p>
    <w:p>
      <w:r>
        <w:rPr>
          <w:rFonts w:ascii="Times New Roman" w:hAnsi="Times New Roman" w:eastAsia="宋体"/>
          <w:b w:val="0"/>
          <w:sz w:val="24"/>
        </w:rPr>
        <w:t>在能耗分析功能基础上，系统需建立能耗定额管理体系，支持对园区内不同功能区域（如办公区、研发区、公共配套区）设定能耗预算指标，并实时监控实际能耗与预算的偏差。当能耗超出预算阈值时，系统应自动发出预警，提示管理人员采取相应措施。系统还应具备能耗预测功能，可基于历史数据和天气、人流量等外部因素，对未来一段时间的能耗趋势进行预测，辅助园区进行能源调度与优化。同时，平台应提供能耗数据可视化展示界面，以驾驶舱形式呈现园区整体能耗概况、分项占比、区域排名等关键信息，便于管理层直观掌握园区能源消耗全貌。所有能耗数据应至少存储三年，并支持数据导出功能，以满足后续审计与追溯要求。</w:t>
      </w:r>
    </w:p>
    <w:p>
      <w:r>
        <w:rPr>
          <w:rFonts w:ascii="Times New Roman" w:hAnsi="Times New Roman" w:eastAsia="宋体"/>
          <w:b w:val="0"/>
          <w:sz w:val="24"/>
        </w:rPr>
        <w:t>智能照明系统作为能耗管理的重要延伸，需实现对园区公共区域（包括但不限于地下车库、走廊、楼梯间、大堂、室外景观区等）照明的分时分区智能控制。系统应采用总线或无线通讯技术，将照明回路接入智能控制模块，并配置光照度传感器、人体感应传感器等末端设备。系统应支持多种控制策略，包括定时控制（根据季节和作息时间自动调整开关灯时间）、感应控制（在无人时段自动调低亮度或关闭灯具，有人时自动恢复全亮）、光照补偿控制（根据自然光照度自动调节人工照明亮度）以及场景控制（如夜间巡逻模式、节假日模式等）。控制策略应可通过管理平台灵活配置和远程修改，并支持现场手动优先控制。系统需具备照明回路状态实时监测与故障报警功能，当灯具或回路发生故障时，能快速定位故障点并通知维护人员。通过精细化照明管理，旨在实现公共区域照明能耗较传统模式降低不低于30%的目标，同时提升照明舒适度和管理效率。</w:t>
      </w:r>
    </w:p>
    <w:p>
      <w:r>
        <w:rPr>
          <w:rFonts w:ascii="Times New Roman" w:hAnsi="Times New Roman" w:eastAsia="宋体"/>
          <w:b w:val="0"/>
          <w:sz w:val="24"/>
        </w:rPr>
        <w:t>智慧停车管理系统需覆盖园区所有停车区域，包括地下车库、地面停车场及访客临时停车位。系统核心功能包括车牌识别无感通行、车位引导及无人值守收费。在园区各出入口应部署高清车牌识别摄像机，配合道闸及车辆检测器，实现车辆进出场时车牌信息的自动快速抓拍与识别，识别准确率应不低于99.5%，并支持无牌车通过扫码或取票方式入场。系统应支持月租车、临时车、访客车等多种车辆类型的管理，月租车及授权车辆可实现不停车无感通行，临时车辆则通过出口处的自助缴费终端或移动支付（微信、支付宝等）完成缴费后自动放行。所有出入口数据应实时上传至停车管理平台，平台需具备完善的计费规则引擎，支持按时段、按次、按车型等多种计费模式，并支持优惠券、减免等营销策略配置。</w:t>
      </w:r>
    </w:p>
    <w:p>
      <w:r>
        <w:rPr>
          <w:rFonts w:ascii="Times New Roman" w:hAnsi="Times New Roman" w:eastAsia="宋体"/>
          <w:b w:val="0"/>
          <w:sz w:val="24"/>
        </w:rPr>
        <w:t>车位引导系统需在园区各停车场入口及内部关键节点设置余位显示屏，实时显示各区域及楼层的剩余车位数量。在每个车位上方或前方应部署视频检测终端或超声波探测器，实时采集车位占用状态，并将数据上传至引导管理模块。系统应支持车位级导航功能，通过室内诱导屏或移动端应用，为车主提供从入口到空余车位的路径指引，减少车辆寻找车位的时间。对于反向寻车需求，系统应支持通过输入车牌号在查询终端或移动端上获取车辆停放位置及最优寻车路线。无人值守收费模式要求系统具备高度自动化和可靠性，出口处应设置具备语音对讲、扫码支付、纸币找零（可选）等功能的智能收费终端，并支持云端坐席远程协助功能，当现场发生异常情况（如无法识别、设备故障）时，车主可通过一键呼叫连接远程客服进行处理，确保车道通行顺畅。</w:t>
      </w:r>
    </w:p>
    <w:p>
      <w:r>
        <w:rPr>
          <w:rFonts w:ascii="Times New Roman" w:hAnsi="Times New Roman" w:eastAsia="宋体"/>
          <w:b w:val="0"/>
          <w:sz w:val="24"/>
        </w:rPr>
        <w:t>停车管理平台应具备集中监控、数据统计与报表分析功能。平台需实时展示所有出入口的道闸状态、摄像机状态、收费终端状态及当前车辆通行记录，支持对异常事件（如非法闯入、长时间停留、设备离线）进行报警提示。系统应能自动生成各类运营报表，包括但不限于车流量统计、收入日报/月报、车位周转率、平均停车时长等，为园区停车收费策略调整和运营优化提供数据依据。同时，系统需具备完善的权限管理功能，不同角色（如管理员、收费员、财务人员）拥有不同的操作权限，所有收费操作及退款操作均应留有完整日志记录，确保资金安全。此外，智慧停车系统应预留与智慧园区统一信息平台、物业管理系统及公安部门相关平台的接口，实现数据共享与业务联动。</w:t>
      </w:r>
    </w:p>
    <w:p>
      <w:r>
        <w:rPr>
          <w:rFonts w:ascii="Times New Roman" w:hAnsi="Times New Roman" w:eastAsia="宋体"/>
          <w:b w:val="0"/>
          <w:sz w:val="24"/>
        </w:rPr>
        <w:t>在系统集成方面，智慧能耗与智慧停车系统并非孤立运行，需与园区综合管理平台进行深度融合。能耗数据应能推送至园区驾驶舱进行统一展示，停车数据亦应纳入园区整体运营分析体系。系统应采用开放的标准协议（如BACnet、Modbus、OPC UA等），确保各子系统间及与上层管理平台间的数据交互高效、稳定。投标人应提供完整的系统接口文档，并配合完成与第三方系统的联调测试。同时，系统设计需充分考虑未来扩展需求，支持按模块化方式增加新的监测点或功能模块，以适应园区后续发展需要。所有软硬件设备均需选用主流品牌，并保证至少五年的备品备件供应周期。</w:t>
      </w:r>
    </w:p>
    <w:p>
      <w:r>
        <w:rPr>
          <w:rFonts w:ascii="Times New Roman" w:hAnsi="Times New Roman" w:eastAsia="宋体"/>
          <w:b w:val="0"/>
          <w:sz w:val="24"/>
        </w:rPr>
        <w:t>系统安全性与可靠性是本项目的基本要求。能耗与停车系统涉及大量设备控制指令和收费交易数据，必须采取严格的安全防护措施。网络传输应采用加密协议，系统应设置防火墙及入侵检测机制，防止非法访问和网络攻击。数据库应具备定时自动备份与恢复功能，关键服务器建议采用冗余配置，确保系统7×24小时不间断运行。对于停车收费系统，其计费准确性应通过第三方检测机构验证，并符合国家关于电子支付安全的相关规定。同时，系统应具备完善的日志审计功能，对所有操作行为进行记录，确保事后可追溯。在极端情况（如网络中断）下，停车系统应支持离线计费模式，待网络恢复后自动上传数据，确保业务连续性。</w:t>
      </w:r>
    </w:p>
    <w:p>
      <w:r>
        <w:rPr>
          <w:rFonts w:ascii="Times New Roman" w:hAnsi="Times New Roman" w:eastAsia="宋体"/>
          <w:b w:val="0"/>
          <w:sz w:val="24"/>
        </w:rPr>
        <w:t>关于系统实施与交付，投标人应提交详细的实施方案，包括设备清单、点位布置图、施工计划、调试方案及验收标准。所有硬件设备的安装应符合相关电气安全规范，管线敷设应整齐美观，不影响园区整体环境。系统调试完成后，投标人需提供完整的竣工资料，包括竣工图、设备配置文档、操作手册及维护手册。同时，投标人应对园区相关管理人员及操作人员进行全面培训，确保其能够熟练使用系统各项功能。系统自最终验收合格之日起，应提供不少于两年的免费质保期，质保期内提供7×24小时技术支持服务，故障响应时间不超过30分钟，一般故障修复时间不超过4小时，重大故障修复时间不超过24小时。质保期后，投标人应提供长期、稳定的有偿运维服务方案，并明确服务内容、响应时间及费用标准。</w:t>
      </w:r>
    </w:p>
    <w:p>
      <w:pPr>
        <w:pStyle w:val="Heading3"/>
        <w:ind w:firstLine="0"/>
      </w:pPr>
      <w:r>
        <w:t>5.3 一卡通系统与综合管理平台</w:t>
      </w:r>
    </w:p>
    <w:p>
      <w:r>
        <w:rPr>
          <w:rFonts w:ascii="Times New Roman" w:hAnsi="Times New Roman" w:eastAsia="宋体"/>
          <w:b w:val="0"/>
          <w:sz w:val="24"/>
        </w:rPr>
        <w:t>本工程一卡通系统须实现门禁、消费、考勤、访客管理四大核心功能的“一卡通用”，即园区内所有人员仅凭一张授权卡片或等效凭证，即可完成出入控制、内部消费、考勤记录及访客通行等操作。系统应采用非接触式智能卡（支持CPU卡及手机NFC模拟卡），卡片容量不低于10万张，并具备黑名单实时下发、挂失即时生效等安全机制。门禁子系统须覆盖园区所有出入口、重点机房及办公区域，支持双向刷卡、防尾随及多卡开门模式；消费子系统须兼容食堂、便利店及自助售卖机等场景，支持脱机消费与在线充值，交易数据上传延迟不超过5分钟；考勤子系统须自动汇总员工上下班记录，并与HR系统对接生成月度报表；访客子系统须支持线上预约、现场自助发卡及访客轨迹追踪，访客卡权限默认有效期为8小时，超时自动失效。所有子系统须共用同一数据库及发卡中心，确保人员信息、卡片状态及权限策略实时同步，杜绝数据孤岛。</w:t>
      </w:r>
    </w:p>
    <w:p>
      <w:r>
        <w:rPr>
          <w:rFonts w:ascii="Times New Roman" w:hAnsi="Times New Roman" w:eastAsia="宋体"/>
          <w:b w:val="0"/>
          <w:sz w:val="24"/>
        </w:rPr>
        <w:t>综合管理平台须以三维可视化技术为核心，构建园区整体数字孪生模型，将建筑结构、设备设施、管网线路及人员位置等要素在统一坐标系下精准呈现。平台应支持从园区宏观全景到楼层微观细节的多级缩放，三维模型精度不低于LOD3级别，加载响应时间不超过3秒。一屏统览功能须将安防监控、门禁状态、能耗数据、车位占用、环境监测及告警事件等关键运行指标，以图表、热力图及动态标签形式集中展示于单一大屏界面，信息刷新频率不低于每5秒一次。平台须具备实时告警联动能力，当门禁异常、消防报警或设备故障发生时，三维场景自动定位至事发位置并弹出详情窗口，同时推送处置建议。此外，平台应支持历史数据回溯，可查询任意时间点的园区运行快照，为管理决策及应急演练提供数据支撑。所有子系统数据须通过标准接口（如OPC UA、Modbus TCP或API网关）汇聚至平台，数据接入延迟不超过2秒，并保证全年可用率不低于99.9%。</w:t>
      </w:r>
    </w:p>
    <w:p>
      <w:r>
        <w:rPr>
          <w:rFonts w:ascii="Times New Roman" w:hAnsi="Times New Roman" w:eastAsia="宋体"/>
          <w:b w:val="0"/>
          <w:sz w:val="24"/>
        </w:rPr>
        <w:t>为满足管理人员及园区用户的移动办公需求，须同步提供功能完善的移动端应用，包括原生APP及微信小程序两种形态，且两者功能保持一致。移动端应支持人员通过手机完成门禁扫码开门、访客预约审批、考勤打卡、消费余额查询及充值等日常操作，所有操作须经身份认证及权限校验，通信链路采用TLS加密。APP端须兼容Android 10及以上、iOS 13及以上主流系统版本，小程序端须适配微信最新基础库。移动端应具备消息推送能力，可实时接收门禁异常、访客到达、考勤缺卡及消费限额提醒等通知，推送到达率不低于98%。同时，移动端须集成地图导航功能，可基于室内定位技术（蓝牙Beacon或UWB）实现园区内精准导航，定位精度误差不超过2米，帮助访客快速找到目标会议室或办公区域。此外，移动端应支持远程访客邀请，园区员工可生成一次性访客二维码，访客凭码在有效期内通行指定门禁，二维码有效期可自定义设置，最短为30分钟，最长不超过24小时。</w:t>
      </w:r>
    </w:p>
    <w:p>
      <w:r>
        <w:rPr>
          <w:rFonts w:ascii="Times New Roman" w:hAnsi="Times New Roman" w:eastAsia="宋体"/>
          <w:b w:val="0"/>
          <w:sz w:val="24"/>
        </w:rPr>
        <w:t>一卡通系统与综合管理平台须实现深度集成，形成“端—管—云”一体化架构。前端感知层包括门禁控制器、消费POS机、考勤终端及访客自助机等设备，所有设备须支持在线升级及远程诊断，单台设备故障不影响系统整体运行。中间管理层由一卡通综合管理服务器及数据交换引擎构成，负责处理卡片授权、权限策略下发及跨子系统事件联动，例如当访客卡在非授权区域触发门禁时，系统须自动通知安保中心并联动视频监控进行抓拍记录。云端应用层即综合管理平台及移动端，须提供开放API接口，便于未来与园区其他业务系统（如OA、ERP、消防系统）对接扩展。系统整体须支持不少于5000个门禁点、200台消费终端及100台考勤机的并发接入，卡片管理容量不低于20万张，数据库采用主备热备模式，数据备份周期不超过24小时，备份数据保留时间不少于180天。所有操作日志须完整记录，包括操作人、时间、IP地址及操作内容，日志保存期限不少于3年，以满足审计追溯要求。</w:t>
      </w:r>
    </w:p>
    <w:p>
      <w:r>
        <w:rPr>
          <w:rFonts w:ascii="Times New Roman" w:hAnsi="Times New Roman" w:eastAsia="宋体"/>
          <w:b w:val="0"/>
          <w:sz w:val="24"/>
        </w:rPr>
        <w:t>在安全性与可靠性方面，一卡通系统须采用分级授权管理机制，系统管理员、安全审计员及操作员权限相互独立，严禁越权操作。卡片密钥体系须符合国家商用密码算法要求，支持一卡一密，防止卡片被复制或篡改。综合管理平台须通过等保三级安全认证，具备防SQL注入、防暴力破解及异常流量检测能力，所有对外接口须经过身份令牌验证。系统供电须采用双回路冗余设计，关键服务器及网络设备配备UPS不间断电源，断电后持续运行时间不少于2小时。网络通信须采用专网或VPN加密通道，数据传输全程加密，防止中间人攻击。此外，系统须具备自诊断功能，可实时监测各子系统在线状态，当设备离线超过30秒时自动生成告警工单，并支持远程重启及配置恢复。在极端情况下，如主服务器宕机，备用服务器须在5分钟内自动接管服务，确保业务连续性不受影响。</w:t>
      </w:r>
    </w:p>
    <w:p>
      <w:r>
        <w:rPr>
          <w:rFonts w:ascii="Times New Roman" w:hAnsi="Times New Roman" w:eastAsia="宋体"/>
          <w:b w:val="0"/>
          <w:sz w:val="24"/>
        </w:rPr>
        <w:t>为保障项目顺利实施，投标人须提供详细的系统实施方案，包括设备选型、网络拓扑、安装调试计划及验收测试方案。所有硬件设备须提供不少于3年的原厂质保服务，软件平台须提供不少于5年的免费升级维护。投标人须承诺在系统交付后提供不少于30个工作日的现场驻场服务，协助甲方完成数据初始化、人员信息录入及操作培训。培训内容须涵盖系统管理员、安保操作员及普通用户三个层级，确保各角色人员熟练掌握系统操作。此外，投标人须提供完整的竣工文档，包括系统设计图纸、设备清单、配置参数、操作手册及维护指南，文档须以电子版及纸质版两种形式交付。系统验收须按照甲方制定的测试大纲逐项进行功能测试、性能测试及安全测试，测试结果须达到本招标文件规定的全部指标，任何一项不达标均视为验收不合格。最终验收通过后，系统进入质保期，质保期内投标人须提供7×24小时技术支持服务，故障响应时间不超过15分钟，现场到达时间不超过2小时，普通故障修复时间不超过4小时，重大故障修复时间不超过24小时。</w:t>
      </w:r>
    </w:p>
    <w:p>
      <w:r>
        <w:br w:type="page"/>
      </w:r>
    </w:p>
    <w:p>
      <w:pPr>
        <w:pStyle w:val="Heading1"/>
      </w:pPr>
      <w:r>
        <w:t>第六章 实施要求</w:t>
      </w:r>
    </w:p>
    <w:p>
      <w:pPr>
        <w:pStyle w:val="Heading3"/>
        <w:ind w:firstLine="0"/>
      </w:pPr>
      <w:r>
        <w:t>6.1 工期与实施组织要求</w:t>
      </w:r>
    </w:p>
    <w:p>
      <w:r>
        <w:rPr>
          <w:rFonts w:ascii="Times New Roman" w:hAnsi="Times New Roman" w:eastAsia="宋体"/>
          <w:b w:val="0"/>
          <w:sz w:val="24"/>
        </w:rPr>
        <w:t>本项目总工期不超过12个月，自合同签订之日起计算。中标人须严格遵循此工期约束，合理安排设计、采购、施工、调试及验收各阶段工作，确保项目在合同约定的期限内完成全部建设内容并达到交付使用条件。任何因中标人原因导致的工期延误，均视为违约，招标人有权依据合同约定追究其违约责任。中标人应在合同签订后7日内，向招标人提交详细的工期倒排计划，明确各关键节点的起止时间，经招标人审核批准后作为进度控制的基准文件。</w:t>
      </w:r>
    </w:p>
    <w:p>
      <w:r>
        <w:rPr>
          <w:rFonts w:ascii="Times New Roman" w:hAnsi="Times New Roman" w:eastAsia="宋体"/>
          <w:b w:val="0"/>
          <w:sz w:val="24"/>
        </w:rPr>
        <w:t>中标人应成立专门的项目管理机构，全面负责本项目的组织实施。项目管理机构须配备项目经理、技术负责人、质量安全负责人、各专业工程师等核心人员，其中项目经理须具备类似智慧园区项目的管理经验，并持有国家认可的相关专业高级职称或一级建造师执业资格。项目经理须常驻现场，不得擅自离岗，确需临时离开时，须提前向招标人书面请假并指定具备同等资质的临时负责人，经招标人同意后方可离场。项目管理机构应建立完善的内部管理制度，包括但不限于例会制度、报告制度、文档管理制度、变更管理制度等，确保项目管理的规范性和高效性。</w:t>
      </w:r>
    </w:p>
    <w:p>
      <w:r>
        <w:rPr>
          <w:rFonts w:ascii="Times New Roman" w:hAnsi="Times New Roman" w:eastAsia="宋体"/>
          <w:b w:val="0"/>
          <w:sz w:val="24"/>
        </w:rPr>
        <w:t>中标人在项目实施前，须结合现场实际情况和招标文件要求，编制详细的实施组织方案与进度计划。实施组织方案应涵盖项目总体实施方案、各子系统实施细节、施工组织设计、人员与设备配置计划、质量保证措施、安全文明施工措施、应急预案等内容。进度计划应采用网络图或横道图形式，明确各项工作之间的逻辑关系、起止时间及资源分配，并标注关键路径。上述文件须在合同签订后15日内提交招标人审批，经招标人书面批准后方可组织实施。未经招标人批准，中标人不得擅自调整实施组织方案和进度计划；确需调整的，须提前向招标人提出书面申请，说明调整原因及对总工期的影响，经招标人书面同意后方可执行。</w:t>
      </w:r>
    </w:p>
    <w:p>
      <w:r>
        <w:rPr>
          <w:rFonts w:ascii="Times New Roman" w:hAnsi="Times New Roman" w:eastAsia="宋体"/>
          <w:b w:val="0"/>
          <w:sz w:val="24"/>
        </w:rPr>
        <w:t>中标人应建立进度动态监控机制，每周向招标人提交进度报告，如实反映实际进度与计划进度的偏差情况。当实际进度滞后于计划进度时，中标人须及时分析原因，制定切实可行的赶工措施，并报招标人备案。赶工措施不得降低工程质量标准，不得增加招标人额外费用。若因中标人原因导致关键节点延误超过7日，招标人有权要求中标人增加资源投入或调整施工方案，由此产生的费用由中标人自行承担。同时，中标人应充分考虑雨季、高温等不利天气因素对施工的影响，在进度计划中预留合理的机动时间，确保总工期目标的实现。</w:t>
      </w:r>
    </w:p>
    <w:p>
      <w:r>
        <w:rPr>
          <w:rFonts w:ascii="Times New Roman" w:hAnsi="Times New Roman" w:eastAsia="宋体"/>
          <w:b w:val="0"/>
          <w:sz w:val="24"/>
        </w:rPr>
        <w:t>在实施组织方面，中标人须统筹协调各专业施工队伍，合理安排交叉作业顺序，避免因工序冲突造成窝工或返工。中标人应建立与招标人、监理单位、设计单位及其他相关方的沟通协调机制，定期召开工地例会，及时解决项目实施过程中出现的技术、管理及协调问题。对于涉及隐蔽工程、关键节点或重大设计变更的事项，中标人须提前通知招标人和监理单位到场验收或确认，未经确认不得进入下一道工序。中标人还应做好施工现场的成品保护工作，防止因施工活动造成已完工程或既有设施的损坏。</w:t>
      </w:r>
    </w:p>
    <w:p>
      <w:r>
        <w:rPr>
          <w:rFonts w:ascii="Times New Roman" w:hAnsi="Times New Roman" w:eastAsia="宋体"/>
          <w:b w:val="0"/>
          <w:sz w:val="24"/>
        </w:rPr>
        <w:t>中标人须在项目现场设立固定的办公场所，配备必要的办公设备和通讯设施，满足项目管理及与招标人沟通的需要。项目管理机构的主要管理人员应保持相对稳定，不得随意更换。确需更换项目经理或技术负责人的，中标人须提前14日向招标人提出书面申请，说明更换原因及拟任人员的资历证明，经招标人书面同意后方可更换。未经招标人同意擅自更换主要管理人员的，招标人有权按合同约定对中标人进行处罚，直至解除合同。</w:t>
      </w:r>
    </w:p>
    <w:p>
      <w:r>
        <w:rPr>
          <w:rFonts w:ascii="Times New Roman" w:hAnsi="Times New Roman" w:eastAsia="宋体"/>
          <w:b w:val="0"/>
          <w:sz w:val="24"/>
        </w:rPr>
        <w:t>中标人应制定完善的安全文明施工管理制度，落实安全生产责任制，配备专职安全管理人员，对施工现场进行定期和不定期的安全检查，及时消除安全隐患。施工期间，中标人须严格遵守国家及地方有关安全生产、环境保护、市容管理等方面的法律法规，采取有效措施减少施工噪音、粉尘和废弃物对周边环境的影响。同时，中标人应制定突发事件应急预案，并组织演练，确保在发生紧急情况时能够迅速响应、妥善处置。</w:t>
      </w:r>
    </w:p>
    <w:p>
      <w:r>
        <w:rPr>
          <w:rFonts w:ascii="Times New Roman" w:hAnsi="Times New Roman" w:eastAsia="宋体"/>
          <w:b w:val="0"/>
          <w:sz w:val="24"/>
        </w:rPr>
        <w:t>在项目收尾阶段，中标人须按照招标人要求，完成各子系统的联调联试、试运行及竣工验收准备工作。中标人应在竣工验收前15日，向招标人提交完整的竣工资料，包括但不限于竣工图、设备清单、测试报告、操作手册、维护保养手册等。竣工资料须符合国家档案管理规范及招标人内部管理要求，经招标人审核合格后，方可组织竣工验收。竣工验收合格后，中标人须在合同约定的保修期内，按照招标人要求提供及时的售后服务和维修响应，确保系统长期稳定运行。</w:t>
      </w:r>
    </w:p>
    <w:p>
      <w:r>
        <w:rPr>
          <w:rFonts w:ascii="Times New Roman" w:hAnsi="Times New Roman" w:eastAsia="宋体"/>
          <w:b w:val="0"/>
          <w:sz w:val="24"/>
        </w:rPr>
        <w:t>中标人应充分理解本项目的整体性和复杂性，在实施过程中服从招标人的统一协调和管理，积极配合招标人完成与项目相关的各项审批、备案及外部协调工作。对于招标人提出的合理优化建议或调整要求，中标人应在不影响总工期的前提下积极响应并落实。中标人还应定期对项目管理人员和施工人员进行培训，提升其业务素质和安全意识，确保项目高质量、高效率地推进。</w:t>
      </w:r>
    </w:p>
    <w:p>
      <w:pPr>
        <w:pStyle w:val="Heading3"/>
        <w:ind w:firstLine="0"/>
      </w:pPr>
      <w:r>
        <w:t>6.2 进度、培训与验收要求</w:t>
      </w:r>
    </w:p>
    <w:p>
      <w:r>
        <w:rPr>
          <w:rFonts w:ascii="Times New Roman" w:hAnsi="Times New Roman" w:eastAsia="宋体"/>
          <w:b w:val="0"/>
          <w:sz w:val="24"/>
        </w:rPr>
        <w:t>本项目实施进度管理应遵循科学、规范、可控的原则，中标人须在合同签订后10个工作日内提交详细的实施进度计划，明确各阶段工作内容、起止时间及资源投入安排。进度计划应设置关键里程碑节点，包括但不限于需求调研确认、系统设计评审、开发环境搭建、核心功能开发完成、系统集成测试、初验准备及试运行启动等，每个里程碑节点须设定明确的交付物和验收标准。中标人应建立月度进度报告制度，于每月结束后5个工作日内向招标人提交上月进度报告，内容涵盖实际完成情况与计划对比、偏差原因分析、纠偏措施及下月工作计划，进度报告须经项目监理单位审核确认后报招标人备案。若实际进度滞后于计划超过10个工作日，中标人须立即启动应急响应机制，提出专项赶工方案并组织实施，由此产生的额外费用由中标人自行承担。招标人有权根据项目实际需要对里程碑节点进行合理调整，中标人应无条件配合执行。</w:t>
      </w:r>
    </w:p>
    <w:p>
      <w:r>
        <w:rPr>
          <w:rFonts w:ascii="Times New Roman" w:hAnsi="Times New Roman" w:eastAsia="宋体"/>
          <w:b w:val="0"/>
          <w:sz w:val="24"/>
        </w:rPr>
        <w:t>培训工作是确保智慧园区平台顺利交付和长效运行的重要保障，中标人须在系统初验前完成全部培训任务，并提交培训实施方案供招标人审核。培训对象应分类实施，针对系统管理员、业务操作人员、运维人员分别设计差异化培训课程，其中系统管理员培训重点涵盖平台架构原理、权限配置管理、数据备份恢复、系统参数设置及应急处理流程；业务操作人员培训重点包括日常业务办理流程、功能模块操作演练、数据录入规范及常见问题处理；运维人员培训则聚焦于服务器与网络设备维护、数据库日常巡检、安全策略配置、日志分析及故障排查技术。三类培训总学时不得少于40学时，其中系统管理员不少于16学时，业务操作人员不少于12学时，运维人员不少于12学时，每类培训均须安排上机实操环节，实操学时占比不低于总学时的50%。中标人应提供完整的培训教材、操作手册及视频教程，培训结束后须组织考核，考核合格率应达到90%以上，未通过考核人员须安排补训直至合格，所有培训及考核记录须整理成册移交招标人存档。</w:t>
      </w:r>
    </w:p>
    <w:p>
      <w:r>
        <w:rPr>
          <w:rFonts w:ascii="Times New Roman" w:hAnsi="Times New Roman" w:eastAsia="宋体"/>
          <w:b w:val="0"/>
          <w:sz w:val="24"/>
        </w:rPr>
        <w:t>项目验收分为初步验收和最终验收两个阶段，初验合格后进入试运行期，试运行期为3个月。中标人完成系统开发、集成及内部测试后，应向招标人提交初验申请及完整的测试报告、部署文档、用户手册等交付物，招标人组织初验小组依据合同要求和招标文件技术标准进行现场测试和功能核对，初验中发现的问题须在15个工作日内完成整改并复验确认。初验合格后系统即进入为期3个月的试运行阶段，试运行期间中标人须派驻不少于2名技术人员现场值守，负责系统运行监控、数据核对、性能调优及用户问题响应，并每周提交试运行周报，记录系统运行状态、问题处理情况及优化建议。试运行期间若出现系统崩溃、数据丢失、核心功能失效等重大问题，中标人须在24小时内修复并提交详细的事故分析报告，试运行期自问题修复并确认后重新起算。试运行期满且无重大遗留问题，中标人提交终验申请及试运行总结报告，招标人组织终验，终验内容包括系统功能完整性、性能指标达标情况、文档资料齐全性及培训效果评估，终验合格后双方签署最终验收证书，系统正式移交招标人使用。</w:t>
      </w:r>
    </w:p>
    <w:p>
      <w:r>
        <w:rPr>
          <w:rFonts w:ascii="Times New Roman" w:hAnsi="Times New Roman" w:eastAsia="宋体"/>
          <w:b w:val="0"/>
          <w:sz w:val="24"/>
        </w:rPr>
        <w:t>中标人应建立完善的项目文档管理体系，在项目实施各阶段同步产出需求规格说明书、概要设计文档、详细设计文档、数据库设计说明书、接口规范文档、测试计划及测试报告、部署方案、操作手册、运维手册等全套技术文档，所有文档须符合国家信息化项目文档编制规范，并在终验前完成最终版本归档。文档交付物作为验收的必备条件，缺失或不合格的文档将视为验收不通过，中标人须在收到整改通知后10个工作日内完成补充修订。此外，中标人应提供不少于12个月的免费质保期服务，质保期自终验合格之日起计算，质保期内中标人须提供7×24小时远程技术支持及现场应急响应服务，系统发生故障时须在2小时内响应、4小时内提出解决方案、一般故障24小时内解决、重大故障48小时内解决，质保期满前中标人应完成系统全面巡检并提交巡检报告。招标人保留对中标人履约情况进行考核评价的权利，考核结果将作为项目款项支付及后续合作的重要依据，中标人须严格遵守上述进度、培训及验收要求，确保智慧园区建设项目按期、保质、高效完成交付。</w:t>
      </w:r>
    </w:p>
    <w:p>
      <w:r>
        <w:br w:type="page"/>
      </w:r>
    </w:p>
    <w:p>
      <w:pPr>
        <w:pStyle w:val="Heading1"/>
      </w:pPr>
      <w:r>
        <w:t>第七章 人员要求</w:t>
      </w:r>
    </w:p>
    <w:p>
      <w:pPr>
        <w:pStyle w:val="Heading3"/>
        <w:ind w:firstLine="0"/>
      </w:pPr>
      <w:r>
        <w:t>7.1 项目团队与人员要求</w:t>
      </w:r>
    </w:p>
    <w:p>
      <w:r>
        <w:rPr>
          <w:rFonts w:ascii="Times New Roman" w:hAnsi="Times New Roman" w:eastAsia="宋体"/>
          <w:b w:val="0"/>
          <w:sz w:val="24"/>
        </w:rPr>
        <w:t>投标人应为本项目组建一支专业、稳定、高效的项目实施团队，团队配置须完整涵盖项目经理、技术负责人、实施工程师、培训讲师等核心岗位，并明确各岗位职责分工。投标文件中须提供项目团队组织架构图、人员名单、岗位职责说明及对应人员的简历证明材料，确保团队整体能力与本项目智慧园区建设的技术复杂度、实施规模及管理要求相匹配。项目团队所有成员须为投标人正式在册员工，须提供近三个月的社保缴纳证明，严禁中标后随意更换核心人员。</w:t>
      </w:r>
    </w:p>
    <w:p>
      <w:r>
        <w:rPr>
          <w:rFonts w:ascii="Times New Roman" w:hAnsi="Times New Roman" w:eastAsia="宋体"/>
          <w:b w:val="0"/>
          <w:sz w:val="24"/>
        </w:rPr>
        <w:t>项目经理作为本项目的第一责任人，须全面负责项目进度、质量、沟通协调及风险管控，统筹管理各实施小组的日常工作，并定期向采购人汇报项目状态。★项目经理须具有5年以上智慧园区类项目管理经验，并具有PMP或信息系统项目管理师证书，须在投标文件中提供相关项目业绩证明（如合同关键页、验收报告等）及证书复印件。项目经理须全程参与本项目实施，不得兼任其他项目职务，驻场时间不得少于项目实施周期的90%，以确保管理决策的及时性与连续性。</w:t>
      </w:r>
    </w:p>
    <w:p>
      <w:r>
        <w:rPr>
          <w:rFonts w:ascii="Times New Roman" w:hAnsi="Times New Roman" w:eastAsia="宋体"/>
          <w:b w:val="0"/>
          <w:sz w:val="24"/>
        </w:rPr>
        <w:t>技术负责人须具有高级工程师职称，且具备丰富的智慧园区相关技术架构设计、系统集成及数据治理经验，须主导本项目技术方案的深化设计、关键技术选型、系统接口规范制定及技术风险把控。技术负责人须在项目实施全周期内提供技术支持，并确保每周至少3个工作日在现场办公，以解决现场技术难题。项目实施期间驻场人员不少于5人，驻场团队须包含实施工程师（至少3人，须熟悉物联网设备调试、网络部署、平台软件配置等）、培训讲师（至少1人，须具备智慧园区平台操作培训经验）及质量保障人员（至少1人），确保各专业领域均有专人负责。</w:t>
      </w:r>
    </w:p>
    <w:p>
      <w:r>
        <w:rPr>
          <w:rFonts w:ascii="Times New Roman" w:hAnsi="Times New Roman" w:eastAsia="宋体"/>
          <w:b w:val="0"/>
          <w:sz w:val="24"/>
        </w:rPr>
        <w:t>实施工程师须具备2年以上智慧园区或相关信息化项目的实施经验，熟悉主流物联网协议（如MQTT、Modbus等）、安防系统、能耗管理系统及数据对接流程，能够独立完成设备安装调试、系统配置、数据初始化及联调测试工作。培训讲师须具备3年以上信息化系统培训经验，能够根据采购人需求制定分层培训计划，涵盖系统操作、日常维护、应急处理等内容，并编制配套培训教材及操作手册，确保培训效果可量化考核。质量保障人员须熟悉软件工程及项目管理规范，负责项目文档审核、过程检查及交付成果的合规性验证。</w:t>
      </w:r>
    </w:p>
    <w:p>
      <w:r>
        <w:rPr>
          <w:rFonts w:ascii="Times New Roman" w:hAnsi="Times New Roman" w:eastAsia="宋体"/>
          <w:b w:val="0"/>
          <w:sz w:val="24"/>
        </w:rPr>
        <w:t>投标人须在投标文件中明确项目团队各成员的职责分工矩阵，并承诺在项目实施期间，未经采购人书面同意，不得更换项目经理、技术负责人及主要实施工程师。若确因不可抗力需更换人员，须提前15个工作日向采购人提出书面申请，且替换人员资历不得低于原定人员标准，经采购人审核同意后方可执行。同时，投标人须建立项目团队内部知识转移机制，确保关键岗位人员变动时，项目知识、技术文档及实施经验能够无缝交接，避免对项目进度和质量造成不利影响。</w:t>
      </w:r>
    </w:p>
    <w:p>
      <w:r>
        <w:rPr>
          <w:rFonts w:ascii="Times New Roman" w:hAnsi="Times New Roman" w:eastAsia="宋体"/>
          <w:b w:val="0"/>
          <w:sz w:val="24"/>
        </w:rPr>
        <w:t>采购人有权在项目实施过程中对团队人员到岗情况进行不定期检查，如发现人员缺岗、履职不力或资质不符等情况，采购人有权要求投标人限期整改，并视情节严重程度依据合同条款追究违约责任。投标人还须为本项目团队提供必要的劳动保护、意外保险及现场工作条件保障，确保团队人员能够长期稳定驻场。此外，投标人应针对本项目制定团队绩效考核办法，将项目里程碑达成率、问题响应及时率、培训满意度等指标纳入考核体系，以激励团队高效协作，保障项目按期高质量交付。</w:t>
      </w:r>
    </w:p>
    <w:p>
      <w:r>
        <w:br w:type="page"/>
      </w:r>
    </w:p>
    <w:p>
      <w:pPr>
        <w:pStyle w:val="Heading1"/>
      </w:pPr>
      <w:r>
        <w:t>第八章 资质要求</w:t>
      </w:r>
    </w:p>
    <w:p>
      <w:pPr>
        <w:pStyle w:val="Heading3"/>
        <w:ind w:firstLine="0"/>
      </w:pPr>
      <w:r>
        <w:t>8.1 投标人资格、资质与业绩要求</w:t>
      </w:r>
    </w:p>
    <w:p>
      <w:r>
        <w:rPr>
          <w:rFonts w:ascii="Times New Roman" w:hAnsi="Times New Roman" w:eastAsia="宋体"/>
          <w:b w:val="0"/>
          <w:sz w:val="24"/>
        </w:rPr>
        <w:t>投标人须为在中华人民共和国境内注册的独立法人企业，具有有效的营业执照、税务登记证和组织机构代码证（或三证合一的营业执照），且注册资本不低于1000万元人民币。投标人须具备良好的商业信誉和健全的财务会计制度，提供近三年经审计的财务报告，以证明其具备履行合同所需的财务能力和抗风险能力。投标人的经营范围应涵盖智慧园区或智慧城市相关系统的设计、开发、集成或运维服务，确保其业务领域与本项目需求高度契合。此外，投标人须具有依法缴纳税收和社会保障资金的良好记录，并提供近六个月的相关缴纳证明文件。</w:t>
      </w:r>
    </w:p>
    <w:p>
      <w:r>
        <w:rPr>
          <w:rFonts w:ascii="Times New Roman" w:hAnsi="Times New Roman" w:eastAsia="宋体"/>
          <w:b w:val="0"/>
          <w:sz w:val="24"/>
        </w:rPr>
        <w:t>投标人须通过ISO9001质量管理体系认证、ISO27001信息安全管理体系认证，并具有CMMI3级及以上认证。上述认证证书须在有效期内，且认证范围应覆盖本项目相关的软件开发、系统集成或信息技术服务活动。投标人须在投标文件中提供认证证书的清晰复印件或扫描件，并加盖投标人公章。若证书正在办理换证或年审，须提供相关主管部门出具的受理证明或有效过渡期文件。招标人有权在评标期间对投标人提供的认证信息进行核实，如发现虚假材料，将取消其投标资格并追究相应责任。</w:t>
      </w:r>
    </w:p>
    <w:p>
      <w:r>
        <w:rPr>
          <w:rFonts w:ascii="Times New Roman" w:hAnsi="Times New Roman" w:eastAsia="宋体"/>
          <w:b w:val="0"/>
          <w:sz w:val="24"/>
        </w:rPr>
        <w:t>投标人须具有丰富的智慧园区或智慧城市项目经验，近三年（2021年1月以来）至少完成3个类似智慧园区或智慧城市项目，单个合同金额不低于500万元。类似项目指包含智慧安防、智慧能源、智慧交通、智慧运营管理、数据平台建设或智能化集成等核心内容的项目。投标人须在投标文件中提供每个项目的合同关键页（包括合同首页、金额页、签字盖章页）、验收报告或用户出具的项目完成证明，以及项目联系人和联系方式，以便招标人核查。若投标人提供的业绩为联合体项目或分包项目，须明确说明其承担的具体工作内容和合同金额占比，且仅计算其实际承担部分的金额。业绩时间以合同签订日期或验收报告日期为准，须提供明确的日期证明。</w:t>
      </w:r>
    </w:p>
    <w:p>
      <w:r>
        <w:rPr>
          <w:rFonts w:ascii="Times New Roman" w:hAnsi="Times New Roman" w:eastAsia="宋体"/>
          <w:b w:val="0"/>
          <w:sz w:val="24"/>
        </w:rPr>
        <w:t>投标人须无失信记录，未被列入政府采购严重违法失信行为记录名单，且未被“信用中国”网站（www.creditchina.gov.cn）列入失信被执行人、重大税收违法案件当事人名单。投标人须在投标文件中提供投标截止日前一周内从上述官方渠道查询的信用信息报告或截图，并加盖投标人公章。同时，投标人近三年内（2021年1月以来）在经营活动中无重大违法记录，未因违法经营受到刑事处罚或责令停产停业、吊销许可证或执照、较大数额罚款等行政处罚。投标人须出具书面承诺函，承诺其不存在上述失信或违法情形，并承担因虚假承诺所引发的一切法律后果。</w:t>
      </w:r>
    </w:p>
    <w:p>
      <w:r>
        <w:rPr>
          <w:rFonts w:ascii="Times New Roman" w:hAnsi="Times New Roman" w:eastAsia="宋体"/>
          <w:b w:val="0"/>
          <w:sz w:val="24"/>
        </w:rPr>
        <w:t>投标人须具备履行本项目合同所必需的专业技术能力和设备条件，包括但不限于具有稳定的项目管理团队、软件开发团队和系统集成实施团队。项目负责人须具有相关专业高级技术职称或同等资质，且近五年内主持完成过至少一个合同金额不低于500万元的智慧园区或智慧城市项目。投标人须提供项目负责人的社保证明、职称证书、业绩证明等材料。此外，投标人应具备本地化服务能力，或在项目所在地设有分支机构、办事处或售后服务机构，能够提供7×24小时的技术支持和应急响应服务。对于外地投标人，须在投标文件中明确本地服务团队的组建方案和响应时限承诺。</w:t>
      </w:r>
    </w:p>
    <w:p>
      <w:r>
        <w:rPr>
          <w:rFonts w:ascii="Times New Roman" w:hAnsi="Times New Roman" w:eastAsia="宋体"/>
          <w:b w:val="0"/>
          <w:sz w:val="24"/>
        </w:rPr>
        <w:t>投标人须遵守国家有关法律法规，不得存在围标、串标、弄虚作假等不正当竞争行为。单位负责人为同一人或者存在直接控股、管理关系的不同投标人，不得同时参加本项目的投标。投标人须在投标文件中提供股权结构说明和关联企业清单，以证明其投标独立性。本项目不接受联合体投标，亦不允许中标后将项目主体工程转包或违法分包。投标人须在投标文件中提交《投标人廉洁自律承诺书》，承诺在投标及履约过程中不向招标人、评标委员会成员或相关工作人员行贿或提供其他不正当利益。若发现投标人存在上述违规行为，招标人有权取消其投标资格、没收投标保证金，并依法追究其法律责任。</w:t>
      </w:r>
    </w:p>
    <w:p>
      <w:r>
        <w:rPr>
          <w:rFonts w:ascii="Times New Roman" w:hAnsi="Times New Roman" w:eastAsia="宋体"/>
          <w:b w:val="0"/>
          <w:sz w:val="24"/>
        </w:rPr>
        <w:t>投标人须在投标文件中完整提供上述资格、资质与业绩要求的全部证明材料，并按照招标文件规定的格式编制资格证明文件目录。所有证明材料须真实、有效、清晰，复印件须加盖投标人公章，原件备查。评标委员会将依据本条款对投标人进行资格性审查，任何一项不符合要求的投标人将被视为资格审查不合格，其投标文件将被拒绝，不再进入后续评审环节。招标人保留对投标人所提供材料进行实地考察或函证核实的权利，考察或核实结果与投标文件不符的，将按虚假投标处理。投标人应确保其资格条件在投标截止日至合同履行完毕期间持续有效，若发生重大变更（如股权变更、资质吊销等），须及时书面通知招标人并协商处理方案。</w:t>
      </w:r>
    </w:p>
    <w:p>
      <w:r>
        <w:br w:type="page"/>
      </w:r>
    </w:p>
    <w:p>
      <w:pPr>
        <w:pStyle w:val="Heading1"/>
      </w:pPr>
      <w:r>
        <w:t>第九章 售后服务要求</w:t>
      </w:r>
    </w:p>
    <w:p>
      <w:pPr>
        <w:pStyle w:val="Heading3"/>
        <w:ind w:firstLine="0"/>
      </w:pPr>
      <w:r>
        <w:t>9.1 售后服务要求</w:t>
      </w:r>
    </w:p>
    <w:p>
      <w:r>
        <w:rPr>
          <w:rFonts w:ascii="Times New Roman" w:hAnsi="Times New Roman" w:eastAsia="宋体"/>
          <w:b w:val="0"/>
          <w:sz w:val="24"/>
        </w:rPr>
        <w:t>投标人须为本项目提供全面、及时、有效的售后服务，确保智慧园区各子系统在交付后长期稳定运行。本项目整体质保期不少于2年，自项目最终验收合格之日起计算。质保期内，投标人应严格履行合同约定的各项服务承诺，包括但不限于系统巡检、故障处理、软件升级、硬件维护及技术咨询等。投标人须在投标文件中明确售后服务组织架构、服务流程、管理制度及应急保障预案，并指定一名项目售后服务经理作为与采购人对接的唯一责任人，该经理须具备5年以上同类项目管理经验，未经采购人书面同意不得随意更换。</w:t>
      </w:r>
    </w:p>
    <w:p>
      <w:r>
        <w:rPr>
          <w:rFonts w:ascii="Times New Roman" w:hAnsi="Times New Roman" w:eastAsia="宋体"/>
          <w:b w:val="0"/>
          <w:sz w:val="24"/>
        </w:rPr>
        <w:t>在故障响应方面，投标人须提供7×24小时不间断的故障受理服务，设立专用服务热线、电子邮箱及远程运维平台。当系统发生故障或异常时，投标人须在接到采购人通知后2小时内派遣具备相应资质的专业技术人员到达现场进行故障诊断与处理。对于一般性故障，须在到达现场后4小时内恢复系统正常运行；对于重大故障，须在到达现场后8小时内恢复，若无法在规定时间内恢复，投标人须立即启动应急预案，采取临时替代措施，确保园区核心业务不中断。质保期内，所有因设备质量、安装工艺、软件缺陷等原因导致的维修、部件更换及人工费用均由投标人全额承担，采购人不再支付任何额外费用。更换后的故障部件须为原厂全新合格产品，且其质保期自更换之日起重新计算。</w:t>
      </w:r>
    </w:p>
    <w:p>
      <w:r>
        <w:rPr>
          <w:rFonts w:ascii="Times New Roman" w:hAnsi="Times New Roman" w:eastAsia="宋体"/>
          <w:b w:val="0"/>
          <w:sz w:val="24"/>
        </w:rPr>
        <w:t>为保障园区日常运维的连续性与专业性，投标人须在质保期内提供2名驻场运维人员，驻场时间与采购人正常工作作息一致，并服从采购人现场管理规范。驻场人员须具备相关专业认证（如弱电工程师、网络工程师等），熟悉本项目全部软硬件架构及操作流程，能够独立完成日常巡检、故障预处理、用户操作指导及系统状态监控等工作。投标人须在投标文件中提供驻场人员的详细简历、资质证书及社保缴纳证明，并承诺驻场人员不得同时服务于其他项目。采购人有权对驻场人员的工作绩效进行考核，对于不称职或违反现场纪律的人员，投标人须在接到采购人书面通知后7日内完成更换。</w:t>
      </w:r>
    </w:p>
    <w:p>
      <w:r>
        <w:rPr>
          <w:rFonts w:ascii="Times New Roman" w:hAnsi="Times New Roman" w:eastAsia="宋体"/>
          <w:b w:val="0"/>
          <w:sz w:val="24"/>
        </w:rPr>
        <w:t>投标人须在项目终验合格前，向采购人提交一份完整的备品备件清单，清单内容应涵盖本项目所有关键设备及易损部件的名称、型号、规格、生产厂家、建议库存数量及参考单价。质保期内，投标人须免费提供清单所列备品备件，并确保常用易损件（如传感器、控制器、电源模块、网络模块、摄像头镜头等）在园区现场或本地仓库保持不低于清单要求的安全库存量。当备品备件被领用后，投标人须在5个工作日内补足库存，确保后续故障处理不受影响。对于清单之外的应急性部件需求，投标人须在接到采购人通知后48小时内调配到位，不得以任何理由拖延或拒绝。</w:t>
      </w:r>
    </w:p>
    <w:p>
      <w:r>
        <w:rPr>
          <w:rFonts w:ascii="Times New Roman" w:hAnsi="Times New Roman" w:eastAsia="宋体"/>
          <w:b w:val="0"/>
          <w:sz w:val="24"/>
        </w:rPr>
        <w:t>除上述基本要求外，投标人还须提供质保期内的定期巡检服务，巡检频次为每月不少于1次，并在每季度末向采购人提交详细的巡检报告及系统运行分析报告。巡检内容应包括但不限于服务器及存储设备运行状态、网络链路连通性、安防监控图像质量、门禁系统响应速度、能耗监测数据准确性、软件平台日志检查及安全漏洞扫描等。对于巡检中发现的问题或潜在隐患，投标人须及时出具书面整改方案并组织实施，整改费用包含在质保服务范围内。同时，投标人须配合采购人进行年度应急演练，每年不少于2次，演练内容由采购人根据园区实际运营需求确定。</w:t>
      </w:r>
    </w:p>
    <w:p>
      <w:r>
        <w:rPr>
          <w:rFonts w:ascii="Times New Roman" w:hAnsi="Times New Roman" w:eastAsia="宋体"/>
          <w:b w:val="0"/>
          <w:sz w:val="24"/>
        </w:rPr>
        <w:t>在技术资料与培训服务方面，投标人须在质保期内免费向采购人提供系统操作手册、维护手册、竣工图纸、配置文档等全套技术资料的更新版本，并保证资料与实际系统状态一致。投标人还须根据采购人需求，每年提供不少于2次现场技术培训，培训对象包括采购人运维人员及业务操作人员，培训内容应涵盖系统日常操作、常见故障识别与处理、安全注意事项及应急操作流程等，培训结束后须进行考核并留存记录。此外，投标人应建立完善的客户服务档案，详细记录每次服务的时间、内容、处理结果及回访情况，采购人有权随时查阅该档案。</w:t>
      </w:r>
    </w:p>
    <w:p>
      <w:r>
        <w:rPr>
          <w:rFonts w:ascii="Times New Roman" w:hAnsi="Times New Roman" w:eastAsia="宋体"/>
          <w:b w:val="0"/>
          <w:sz w:val="24"/>
        </w:rPr>
        <w:t>质保期满后，投标人应提供终身有偿维保服务方案，维保费用不得高于本项目合同金额的8%/年，且服务标准不得低于质保期内水平。采购人有权根据实际需求选择是否续签维保合同，投标人不得以任何理由拒绝。同时，投标人须承诺在系统全生命周期内，以不高于市场平均价格提供备品备件及耗材供应，并保证主要设备停产前6个月书面通知采购人，以便采购人提前做好替代方案。对于投标人违反上述售后服务承诺的行为，采购人有权依据合同约定扣除相应比例的质保金，并保留追究其违约责任的权利。投标人须在投标文件中逐条响应本条款要求，并提供详细的服务承诺书及保障措施，未实质性响应或响应内容不完整的，将可能导致其投标被否决。</w:t>
      </w:r>
    </w:p>
    <w:p>
      <w:r>
        <w:br w:type="page"/>
      </w:r>
    </w:p>
    <w:p>
      <w:pPr>
        <w:pStyle w:val="Heading1"/>
      </w:pPr>
      <w:r>
        <w:t>第十章 商务要求</w:t>
      </w:r>
    </w:p>
    <w:p>
      <w:pPr>
        <w:pStyle w:val="Heading3"/>
        <w:ind w:firstLine="0"/>
      </w:pPr>
      <w:r>
        <w:t>10.1 商务与报价要求</w:t>
      </w:r>
    </w:p>
    <w:p>
      <w:r>
        <w:rPr>
          <w:rFonts w:ascii="Times New Roman" w:hAnsi="Times New Roman" w:eastAsia="宋体"/>
          <w:b w:val="0"/>
          <w:sz w:val="24"/>
        </w:rPr>
        <w:t>投标人应依据本招标文件所规定的技术规格、功能需求及交付标准，对本项目实行总价包干报价。该总价应涵盖完成智慧园区建设项目所需的一切费用，包括但不限于全部硬件设备及配套软件的采购、运输、仓储、安装调试、系统集成、接口开发、数据迁移、人员培训、试运行、验收配合、质保期内的维护升级以及项目实施过程中产生的全部税费、管理费、利润及风险费用。除招标文件明确允许调整的情形外，投标总价在合同履行期间不得以任何理由予以变更。投标人须在投标文件中明确声明其已充分理解项目现场条件及技术难点，任何因投标人疏漏或误判导致的费用增加均由投标人自行承担，招标人不再另行支付任何费用。</w:t>
      </w:r>
    </w:p>
    <w:p>
      <w:r>
        <w:rPr>
          <w:rFonts w:ascii="Times New Roman" w:hAnsi="Times New Roman" w:eastAsia="宋体"/>
          <w:b w:val="0"/>
          <w:sz w:val="24"/>
        </w:rPr>
        <w:t>投标人须按照招标文件规定的格式，提交详细的分项报价表。分项报价表应至少涵盖设备购置费、软件许可费、安装工程费、调试测试费、培训服务费、项目管理费、税金及其他必要费用等类别，并逐项列明单价、数量及合价。分项报价表的合计金额必须与投标总报价严格一致，若出现不一致，以投标总报价为准，并视为投标人接受按比例调整分项价格。分项报价表将作为合同签订及后续工程变更、结算审核的重要依据。投标人未按要求提交完整分项报价表的，其投标文件将被视为未实质性响应招标文件要求，可能被拒绝。此外，投标人须在递交投标文件的同时，按项目预算金额的2%提交投标保证金，具体金额及提交方式详见投标人须知前附表，未按规定提交投标保证金的投标将被否决。</w:t>
      </w:r>
    </w:p>
    <w:p>
      <w:r>
        <w:rPr>
          <w:rFonts w:ascii="Times New Roman" w:hAnsi="Times New Roman" w:eastAsia="宋体"/>
          <w:b w:val="0"/>
          <w:sz w:val="24"/>
        </w:rPr>
        <w:t>关于合同履约保障，中标人在收到中标通知书后、签订合同前，须向招标人提交合同总价5%的履约保证金。履约保证金可采用银行保函或电汇转账形式，有效期应覆盖至项目最终验收合格之日。履约保证金用于担保中标人按合同约定履行供货、安装、调试、培训及质保等全部义务，若中标人发生违约行为，招标人有权按合同约定直接扣划相应金额作为赔偿。履约保证金在项目整体竣工验收合格并移交全部成果资料后，经招标人确认无违约事项，将无息退还。同时，中标人须在合同签订后按约定时间进场施工，并严格按照投标文件承诺的项目团队、施工进度及技术方案组织实施，不得擅自转包或违法分包。</w:t>
      </w:r>
    </w:p>
    <w:p>
      <w:r>
        <w:rPr>
          <w:rFonts w:ascii="Times New Roman" w:hAnsi="Times New Roman" w:eastAsia="宋体"/>
          <w:b w:val="0"/>
          <w:sz w:val="24"/>
        </w:rPr>
        <w:t>本项目的付款方式分为三个阶段执行。第一，合同生效且中标人提交等额预付款保函后，招标人向中标人支付合同总价的30%作为预付款，用于支持项目启动及设备采购。第二，项目全部设备安装调试完毕，系统功能经试运行稳定，并通过招标人组织的最终验收合格后，招标人支付合同总价的65%。该笔款项支付前，中标人须提交完整的验收报告、竣工图纸、操作手册及培训记录等文档资料。第三，剩余合同总价的5%作为质量保证金，自最终验收合格之日起计算，质保期满且无任何未决质量缺陷或服务违约问题后，招标人在收到中标人书面退还申请及有效发票后30日内无息退还。若质保期内出现质量问题而中标人未及时修复，招标人有权动用质保金委托第三方处理，相关费用由中标人承担。</w:t>
      </w:r>
    </w:p>
    <w:p>
      <w:r>
        <w:rPr>
          <w:rFonts w:ascii="Times New Roman" w:hAnsi="Times New Roman" w:eastAsia="宋体"/>
          <w:b w:val="0"/>
          <w:sz w:val="24"/>
        </w:rPr>
        <w:t>投标人在报价时应充分考虑项目周期内的市场价格波动、汇率变化及政策调整等因素，招标人不接受任何基于成本上涨或市场变化的调价请求。投标报价应为固定不变价，除非招标人书面提出设计变更或工程量增减，且变更内容经双方书面确认后，方可按合同约定的变更程序调整合同价款。此外，投标人须承诺，其报价中已包含为完成本项目可能发生的所有现场协调、安全文明施工、成品保护及与第三方系统的对接测试费用，招标人不再承担任何未列入分项报价表的隐性费用。对于招标文件未明确但属于实现项目功能所必需的配套附件或服务，投标人应视为已包含在总价中，不得在项目实施阶段追加费用。</w:t>
      </w:r>
    </w:p>
    <w:p>
      <w:r>
        <w:rPr>
          <w:rFonts w:ascii="Times New Roman" w:hAnsi="Times New Roman" w:eastAsia="宋体"/>
          <w:b w:val="0"/>
          <w:sz w:val="24"/>
        </w:rPr>
        <w:t>投标人应确保其商务报价的合理性与竞争性，不得以低于成本的报价恶意竞标。招标人在评标过程中有权要求投标人就其报价构成进行澄清或说明，若投标人无法提供合理依据，招标人有权认定其报价异常并作否决投标处理。同时，投标人须在投标文件中附上营业执照、相关资质证书、近年类似项目业绩证明及财务审计报告等商务文件，以证明其具备履行合同所需的财务能力和商业信誉。所有商务文件及报价资料须加盖投标人公章，并由法定代表人或其授权代表签字确认，否则视为无效。中标人的投标文件将成为合同附件，与合同正文具有同等法律效力。</w:t>
      </w:r>
    </w:p>
    <w:p>
      <w:r>
        <w:rPr>
          <w:rFonts w:ascii="Times New Roman" w:hAnsi="Times New Roman" w:eastAsia="宋体"/>
          <w:b w:val="0"/>
          <w:sz w:val="24"/>
        </w:rPr>
        <w:t>最后，投标人须严格遵守招标文件规定的投标有效期、递交截止时间及密封要求。投标报价一经开启，投标人不得以任何理由撤回或修改。若中标人放弃中标、因不可抗力或自身原因不能履行合同，招标人有权没收其投标保证金，并依序确定下一中标候选人为中标人或重新组织招标。招标人保留在签订合同前对中标人投标文件内容进行核实及要求其补充澄清的权利，中标人须无条件配合。本商务与报价要求的最终解释权归招标人所有，投标人递交投标文件即视为已完全接受本节的全部条款，无任何异议。</w:t>
      </w:r>
    </w:p>
    <w:p>
      <w:r>
        <w:br w:type="page"/>
      </w:r>
    </w:p>
    <w:p>
      <w:pPr>
        <w:pStyle w:val="Heading1"/>
      </w:pPr>
      <w:r>
        <w:t>第十一章 评分标准</w:t>
      </w:r>
    </w:p>
    <w:p>
      <w:pPr>
        <w:pStyle w:val="Heading2"/>
      </w:pPr>
      <w:r>
        <w:t>11.1 评标方法</w:t>
      </w:r>
    </w:p>
    <w:p>
      <w:r>
        <w:rPr>
          <w:rFonts w:ascii="Times New Roman" w:hAnsi="Times New Roman" w:eastAsia="宋体"/>
          <w:b w:val="0"/>
          <w:sz w:val="24"/>
        </w:rPr>
        <w:t>本项目采用综合评分法。评标总分为 100 分，其中技术部分 50 分、商务部分 20 分、价格部分 30 分。评标委员会按照综合得分由高到低排序，推荐中标候选人。</w:t>
      </w:r>
    </w:p>
    <w:p>
      <w:pPr>
        <w:pStyle w:val="Heading2"/>
      </w:pPr>
      <w:r>
        <w:t>11.2 技术评分表（50 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评价项</w:t>
            </w:r>
          </w:p>
        </w:tc>
        <w:tc>
          <w:tcPr>
            <w:tcW w:type="dxa" w:w="2160"/>
          </w:tcPr>
          <w:p>
            <w:r>
              <w:t>分值</w:t>
            </w:r>
          </w:p>
        </w:tc>
        <w:tc>
          <w:tcPr>
            <w:tcW w:type="dxa" w:w="2160"/>
          </w:tcPr>
          <w:p>
            <w:r>
              <w:t>评分细则</w:t>
            </w:r>
          </w:p>
        </w:tc>
      </w:tr>
      <w:tr>
        <w:tc>
          <w:tcPr>
            <w:tcW w:type="dxa" w:w="2160"/>
          </w:tcPr>
          <w:p>
            <w:r>
              <w:t>1</w:t>
            </w:r>
          </w:p>
        </w:tc>
        <w:tc>
          <w:tcPr>
            <w:tcW w:type="dxa" w:w="2160"/>
          </w:tcPr>
          <w:p>
            <w:r>
              <w:t>总体技术方案</w:t>
            </w:r>
          </w:p>
        </w:tc>
        <w:tc>
          <w:tcPr>
            <w:tcW w:type="dxa" w:w="2160"/>
          </w:tcPr>
          <w:p>
            <w:r>
              <w:t>10</w:t>
            </w:r>
          </w:p>
        </w:tc>
        <w:tc>
          <w:tcPr>
            <w:tcW w:type="dxa" w:w="2160"/>
          </w:tcPr>
          <w:p>
            <w:r>
              <w:t>方案完整、架构先进合理，完全满足招标要求得 8-10 分；基本合理得 4-7 分；不合理得 0-3 分。</w:t>
            </w:r>
          </w:p>
        </w:tc>
      </w:tr>
      <w:tr>
        <w:tc>
          <w:tcPr>
            <w:tcW w:type="dxa" w:w="2160"/>
          </w:tcPr>
          <w:p>
            <w:r>
              <w:t>2</w:t>
            </w:r>
          </w:p>
        </w:tc>
        <w:tc>
          <w:tcPr>
            <w:tcW w:type="dxa" w:w="2160"/>
          </w:tcPr>
          <w:p>
            <w:r>
              <w:t>平台功能设计</w:t>
            </w:r>
          </w:p>
        </w:tc>
        <w:tc>
          <w:tcPr>
            <w:tcW w:type="dxa" w:w="2160"/>
          </w:tcPr>
          <w:p>
            <w:r>
              <w:t>10</w:t>
            </w:r>
          </w:p>
        </w:tc>
        <w:tc>
          <w:tcPr>
            <w:tcW w:type="dxa" w:w="2160"/>
          </w:tcPr>
          <w:p>
            <w:r>
              <w:t>平台功能覆盖全部功能要求且有人脸识别、设备接入不少于 1000 台等关键能力设计得 8-10 分；覆盖基本功能得 4-7 分；缺项明显得 0-3 分。</w:t>
            </w:r>
          </w:p>
        </w:tc>
      </w:tr>
      <w:tr>
        <w:tc>
          <w:tcPr>
            <w:tcW w:type="dxa" w:w="2160"/>
          </w:tcPr>
          <w:p>
            <w:r>
              <w:t>3</w:t>
            </w:r>
          </w:p>
        </w:tc>
        <w:tc>
          <w:tcPr>
            <w:tcW w:type="dxa" w:w="2160"/>
          </w:tcPr>
          <w:p>
            <w:r>
              <w:t>系统性能</w:t>
            </w:r>
          </w:p>
        </w:tc>
        <w:tc>
          <w:tcPr>
            <w:tcW w:type="dxa" w:w="2160"/>
          </w:tcPr>
          <w:p>
            <w:r>
              <w:t>5</w:t>
            </w:r>
          </w:p>
        </w:tc>
        <w:tc>
          <w:tcPr>
            <w:tcW w:type="dxa" w:w="2160"/>
          </w:tcPr>
          <w:p>
            <w:r>
              <w:t>可用性、并发、响应时间等性能指标完全满足得 4-5 分；基本满足得 2-3 分；不满足得 0-1 分。</w:t>
            </w:r>
          </w:p>
        </w:tc>
      </w:tr>
      <w:tr>
        <w:tc>
          <w:tcPr>
            <w:tcW w:type="dxa" w:w="2160"/>
          </w:tcPr>
          <w:p>
            <w:r>
              <w:t>4</w:t>
            </w:r>
          </w:p>
        </w:tc>
        <w:tc>
          <w:tcPr>
            <w:tcW w:type="dxa" w:w="2160"/>
          </w:tcPr>
          <w:p>
            <w:r>
              <w:t>安全性设计</w:t>
            </w:r>
          </w:p>
        </w:tc>
        <w:tc>
          <w:tcPr>
            <w:tcW w:type="dxa" w:w="2160"/>
          </w:tcPr>
          <w:p>
            <w:r>
              <w:t>5</w:t>
            </w:r>
          </w:p>
        </w:tc>
        <w:tc>
          <w:tcPr>
            <w:tcW w:type="dxa" w:w="2160"/>
          </w:tcPr>
          <w:p>
            <w:r>
              <w:t>等保三级、密码应用、审计等安全设计完整得 4-5 分；基本完整得 2-3 分；缺失得 0-1 分。</w:t>
            </w:r>
          </w:p>
        </w:tc>
      </w:tr>
      <w:tr>
        <w:tc>
          <w:tcPr>
            <w:tcW w:type="dxa" w:w="2160"/>
          </w:tcPr>
          <w:p>
            <w:r>
              <w:t>5</w:t>
            </w:r>
          </w:p>
        </w:tc>
        <w:tc>
          <w:tcPr>
            <w:tcW w:type="dxa" w:w="2160"/>
          </w:tcPr>
          <w:p>
            <w:r>
              <w:t>国产化适配</w:t>
            </w:r>
          </w:p>
        </w:tc>
        <w:tc>
          <w:tcPr>
            <w:tcW w:type="dxa" w:w="2160"/>
          </w:tcPr>
          <w:p>
            <w:r>
              <w:t>5</w:t>
            </w:r>
          </w:p>
        </w:tc>
        <w:tc>
          <w:tcPr>
            <w:tcW w:type="dxa" w:w="2160"/>
          </w:tcPr>
          <w:p>
            <w:r>
              <w:t>提供信创环境部署方案且适配完整得 4-5 分；部分适配得 2-3 分；无方案得 0-1 分。</w:t>
            </w:r>
          </w:p>
        </w:tc>
      </w:tr>
      <w:tr>
        <w:tc>
          <w:tcPr>
            <w:tcW w:type="dxa" w:w="2160"/>
          </w:tcPr>
          <w:p>
            <w:r>
              <w:t>6</w:t>
            </w:r>
          </w:p>
        </w:tc>
        <w:tc>
          <w:tcPr>
            <w:tcW w:type="dxa" w:w="2160"/>
          </w:tcPr>
          <w:p>
            <w:r>
              <w:t>接口与集成</w:t>
            </w:r>
          </w:p>
        </w:tc>
        <w:tc>
          <w:tcPr>
            <w:tcW w:type="dxa" w:w="2160"/>
          </w:tcPr>
          <w:p>
            <w:r>
              <w:t>5</w:t>
            </w:r>
          </w:p>
        </w:tc>
        <w:tc>
          <w:tcPr>
            <w:tcW w:type="dxa" w:w="2160"/>
          </w:tcPr>
          <w:p>
            <w:r>
              <w:t>接口标准符合要求、集成方案完整得 4-5 分；基本符合得 2-3 分；不符合得 0-1 分。</w:t>
            </w:r>
          </w:p>
        </w:tc>
      </w:tr>
      <w:tr>
        <w:tc>
          <w:tcPr>
            <w:tcW w:type="dxa" w:w="2160"/>
          </w:tcPr>
          <w:p>
            <w:r>
              <w:t>7</w:t>
            </w:r>
          </w:p>
        </w:tc>
        <w:tc>
          <w:tcPr>
            <w:tcW w:type="dxa" w:w="2160"/>
          </w:tcPr>
          <w:p>
            <w:r>
              <w:t>项目管理与实施</w:t>
            </w:r>
          </w:p>
        </w:tc>
        <w:tc>
          <w:tcPr>
            <w:tcW w:type="dxa" w:w="2160"/>
          </w:tcPr>
          <w:p>
            <w:r>
              <w:t>5</w:t>
            </w:r>
          </w:p>
        </w:tc>
        <w:tc>
          <w:tcPr>
            <w:tcW w:type="dxa" w:w="2160"/>
          </w:tcPr>
          <w:p>
            <w:r>
              <w:t>实施组织、进度计划科学合理得 4-5 分；基本合理得 2-3 分；不合理得 0-1 分。</w:t>
            </w:r>
          </w:p>
        </w:tc>
      </w:tr>
      <w:tr>
        <w:tc>
          <w:tcPr>
            <w:tcW w:type="dxa" w:w="2160"/>
          </w:tcPr>
          <w:p>
            <w:r>
              <w:t>8</w:t>
            </w:r>
          </w:p>
        </w:tc>
        <w:tc>
          <w:tcPr>
            <w:tcW w:type="dxa" w:w="2160"/>
          </w:tcPr>
          <w:p>
            <w:r>
              <w:t>培训方案</w:t>
            </w:r>
          </w:p>
        </w:tc>
        <w:tc>
          <w:tcPr>
            <w:tcW w:type="dxa" w:w="2160"/>
          </w:tcPr>
          <w:p>
            <w:r>
              <w:t>3</w:t>
            </w:r>
          </w:p>
        </w:tc>
        <w:tc>
          <w:tcPr>
            <w:tcW w:type="dxa" w:w="2160"/>
          </w:tcPr>
          <w:p>
            <w:r>
              <w:t>培训方案完整、学时满足要求得 2-3 分；基本满足得 1 分；缺失得 0 分。</w:t>
            </w:r>
          </w:p>
        </w:tc>
      </w:tr>
      <w:tr>
        <w:tc>
          <w:tcPr>
            <w:tcW w:type="dxa" w:w="2160"/>
          </w:tcPr>
          <w:p>
            <w:r>
              <w:t>9</w:t>
            </w:r>
          </w:p>
        </w:tc>
        <w:tc>
          <w:tcPr>
            <w:tcW w:type="dxa" w:w="2160"/>
          </w:tcPr>
          <w:p>
            <w:r>
              <w:t>售后服务方案</w:t>
            </w:r>
          </w:p>
        </w:tc>
        <w:tc>
          <w:tcPr>
            <w:tcW w:type="dxa" w:w="2160"/>
          </w:tcPr>
          <w:p>
            <w:r>
              <w:t>2</w:t>
            </w:r>
          </w:p>
        </w:tc>
        <w:tc>
          <w:tcPr>
            <w:tcW w:type="dxa" w:w="2160"/>
          </w:tcPr>
          <w:p>
            <w:r>
              <w:t>质保、响应、驻场安排满足要求得 2 分；基本满足得 1 分；缺失得 0 分。</w:t>
            </w:r>
          </w:p>
        </w:tc>
      </w:tr>
    </w:tbl>
    <w:p>
      <w:pPr>
        <w:pStyle w:val="Heading2"/>
      </w:pPr>
      <w:r>
        <w:t>11.3 商务评分表（20 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评价项</w:t>
            </w:r>
          </w:p>
        </w:tc>
        <w:tc>
          <w:tcPr>
            <w:tcW w:type="dxa" w:w="2160"/>
          </w:tcPr>
          <w:p>
            <w:r>
              <w:t>分值</w:t>
            </w:r>
          </w:p>
        </w:tc>
        <w:tc>
          <w:tcPr>
            <w:tcW w:type="dxa" w:w="2160"/>
          </w:tcPr>
          <w:p>
            <w:r>
              <w:t>评分细则</w:t>
            </w:r>
          </w:p>
        </w:tc>
      </w:tr>
      <w:tr>
        <w:tc>
          <w:tcPr>
            <w:tcW w:type="dxa" w:w="2160"/>
          </w:tcPr>
          <w:p>
            <w:r>
              <w:t>1</w:t>
            </w:r>
          </w:p>
        </w:tc>
        <w:tc>
          <w:tcPr>
            <w:tcW w:type="dxa" w:w="2160"/>
          </w:tcPr>
          <w:p>
            <w:r>
              <w:t>企业资质</w:t>
            </w:r>
          </w:p>
        </w:tc>
        <w:tc>
          <w:tcPr>
            <w:tcW w:type="dxa" w:w="2160"/>
          </w:tcPr>
          <w:p>
            <w:r>
              <w:t>6</w:t>
            </w:r>
          </w:p>
        </w:tc>
        <w:tc>
          <w:tcPr>
            <w:tcW w:type="dxa" w:w="2160"/>
          </w:tcPr>
          <w:p>
            <w:r>
              <w:t>同时具备 ISO9001、ISO27001 认证及 CMMI3 级及以上得 6 分；每缺一项扣 2 分。</w:t>
            </w:r>
          </w:p>
        </w:tc>
      </w:tr>
      <w:tr>
        <w:tc>
          <w:tcPr>
            <w:tcW w:type="dxa" w:w="2160"/>
          </w:tcPr>
          <w:p>
            <w:r>
              <w:t>2</w:t>
            </w:r>
          </w:p>
        </w:tc>
        <w:tc>
          <w:tcPr>
            <w:tcW w:type="dxa" w:w="2160"/>
          </w:tcPr>
          <w:p>
            <w:r>
              <w:t>类似业绩</w:t>
            </w:r>
          </w:p>
        </w:tc>
        <w:tc>
          <w:tcPr>
            <w:tcW w:type="dxa" w:w="2160"/>
          </w:tcPr>
          <w:p>
            <w:r>
              <w:t>8</w:t>
            </w:r>
          </w:p>
        </w:tc>
        <w:tc>
          <w:tcPr>
            <w:tcW w:type="dxa" w:w="2160"/>
          </w:tcPr>
          <w:p>
            <w:r>
              <w:t>近三年类似智慧园区/智慧城市项目每提供 1 个（合同额不低于 500 万元）得 2 分，最高 8 分。</w:t>
            </w:r>
          </w:p>
        </w:tc>
      </w:tr>
      <w:tr>
        <w:tc>
          <w:tcPr>
            <w:tcW w:type="dxa" w:w="2160"/>
          </w:tcPr>
          <w:p>
            <w:r>
              <w:t>3</w:t>
            </w:r>
          </w:p>
        </w:tc>
        <w:tc>
          <w:tcPr>
            <w:tcW w:type="dxa" w:w="2160"/>
          </w:tcPr>
          <w:p>
            <w:r>
              <w:t>项目经理</w:t>
            </w:r>
          </w:p>
        </w:tc>
        <w:tc>
          <w:tcPr>
            <w:tcW w:type="dxa" w:w="2160"/>
          </w:tcPr>
          <w:p>
            <w:r>
              <w:t>4</w:t>
            </w:r>
          </w:p>
        </w:tc>
        <w:tc>
          <w:tcPr>
            <w:tcW w:type="dxa" w:w="2160"/>
          </w:tcPr>
          <w:p>
            <w:r>
              <w:t>项目经理具有 5 年以上智慧园区类项目管理经验且具有 PMP 或信息系统项目管理师证书得 4 分；缺一项扣 2 分。</w:t>
            </w:r>
          </w:p>
        </w:tc>
      </w:tr>
      <w:tr>
        <w:tc>
          <w:tcPr>
            <w:tcW w:type="dxa" w:w="2160"/>
          </w:tcPr>
          <w:p>
            <w:r>
              <w:t>4</w:t>
            </w:r>
          </w:p>
        </w:tc>
        <w:tc>
          <w:tcPr>
            <w:tcW w:type="dxa" w:w="2160"/>
          </w:tcPr>
          <w:p>
            <w:r>
              <w:t>企业信誉</w:t>
            </w:r>
          </w:p>
        </w:tc>
        <w:tc>
          <w:tcPr>
            <w:tcW w:type="dxa" w:w="2160"/>
          </w:tcPr>
          <w:p>
            <w:r>
              <w:t>2</w:t>
            </w:r>
          </w:p>
        </w:tc>
        <w:tc>
          <w:tcPr>
            <w:tcW w:type="dxa" w:w="2160"/>
          </w:tcPr>
          <w:p>
            <w:r>
              <w:t>无失信记录、纳税信用良好的得 2 分；一般得 1 分。</w:t>
            </w:r>
          </w:p>
        </w:tc>
      </w:tr>
    </w:tbl>
    <w:p>
      <w:pPr>
        <w:pStyle w:val="Heading2"/>
      </w:pPr>
      <w:r>
        <w:t>11.4 价格分计算方法（30 分）</w:t>
      </w:r>
    </w:p>
    <w:p>
      <w:r>
        <w:rPr>
          <w:rFonts w:ascii="Times New Roman" w:hAnsi="Times New Roman" w:eastAsia="宋体"/>
          <w:b w:val="0"/>
          <w:sz w:val="24"/>
        </w:rPr>
        <w:t>价格分采用低价优先法计算：评标基准价 = 满足招标文件要求且投标价格最低的投标报价。投标报价等于评标基准价的得满分 30 分；其他投标人的价格分统一按照下列公式计算：投标报价得分 =（评标基准价 ÷ 投标报价）× 30。价格分计算保留两位小数。</w:t>
      </w:r>
    </w:p>
    <w:p>
      <w:r>
        <w:br w:type="page"/>
      </w:r>
    </w:p>
    <w:p>
      <w:pPr>
        <w:pStyle w:val="Heading1"/>
      </w:pPr>
      <w:r>
        <w:t>第十二章 投标文件格式</w:t>
      </w:r>
    </w:p>
    <w:p>
      <w:pPr>
        <w:pStyle w:val="Heading2"/>
      </w:pPr>
      <w:r>
        <w:t>12.1 装订与份数要求</w:t>
      </w:r>
    </w:p>
    <w:p>
      <w:r>
        <w:rPr>
          <w:rFonts w:ascii="Times New Roman" w:hAnsi="Times New Roman" w:eastAsia="宋体"/>
          <w:b w:val="0"/>
          <w:sz w:val="24"/>
        </w:rPr>
        <w:t>投标文件应胶装成册，正本 1 份、副本 4 份，另附电子版 1 份（U 盘，内容与正本一致）。正本与副本不一致的，以正本为准。正本封面应有投标人公章及法定代表人签章。</w:t>
      </w:r>
    </w:p>
    <w:p>
      <w:pPr>
        <w:pStyle w:val="Heading2"/>
      </w:pPr>
      <w:r>
        <w:t>12.2 目录结构要求</w:t>
      </w:r>
    </w:p>
    <w:p>
      <w:r>
        <w:rPr>
          <w:rFonts w:ascii="Times New Roman" w:hAnsi="Times New Roman" w:eastAsia="宋体"/>
          <w:b w:val="0"/>
          <w:sz w:val="24"/>
        </w:rPr>
        <w:t>投标文件应按以下目录结构编制：（1）投标函及投标函附录；（2）法定代表人身份证明及授权委托书；（3）开标一览表；（4）分项报价表；（5）公司介绍；（6）资质证明材料；（7）类似项目业绩证明材料；（8）项目团队人员证明材料；（9）技术方案（含总体架构、功能设计、实施方案、售后服务方案）；（10）其他材料。</w:t>
      </w:r>
    </w:p>
    <w:p>
      <w:pPr>
        <w:pStyle w:val="Heading2"/>
      </w:pPr>
      <w:r>
        <w:t>12.3 格式要求</w:t>
      </w:r>
    </w:p>
    <w:p>
      <w:r>
        <w:rPr>
          <w:rFonts w:ascii="Times New Roman" w:hAnsi="Times New Roman" w:eastAsia="宋体"/>
          <w:b w:val="0"/>
          <w:sz w:val="24"/>
        </w:rPr>
        <w:t>投标文件统一使用 A4 纸，正文采用宋体小四号字，标题采用黑体；全文连续编排页码；关键证明文件提供原件扫描件并加盖公章。</w:t>
      </w:r>
    </w:p>
    <w:p>
      <w:r>
        <w:br w:type="page"/>
      </w:r>
    </w:p>
    <w:p>
      <w:pPr>
        <w:pStyle w:val="Heading1"/>
      </w:pPr>
      <w:r>
        <w:t>第十三章 合同主要条款</w:t>
      </w:r>
    </w:p>
    <w:p>
      <w:pPr>
        <w:pStyle w:val="Heading3"/>
        <w:ind w:firstLine="0"/>
      </w:pPr>
      <w:r>
        <w:t>13.1 合同主要条款</w:t>
      </w:r>
    </w:p>
    <w:p>
      <w:r>
        <w:rPr>
          <w:rFonts w:ascii="Times New Roman" w:hAnsi="Times New Roman" w:eastAsia="宋体"/>
          <w:b w:val="0"/>
          <w:sz w:val="24"/>
        </w:rPr>
        <w:t>本合同条款为招标文件的组成部分，中标人须完全响应并接受。合同书格式采用招标文件提供的标准合同书格式，双方在签订合同时应严格遵循该格式，不得擅自更改实质性内容。若在合同履行过程中出现未尽事宜或需对特定事项作出细化约定，经双方协商一致，可另行签订补充协议，补充协议与本合同具有同等法律效力，但补充协议内容不得与本招标文件的实质性要求相抵触。合同签订后，双方的权利义务以合同书及补充协议为准，招标人将严格按照合同约定对项目全过程进行管理、监督与验收。</w:t>
      </w:r>
    </w:p>
    <w:p>
      <w:r>
        <w:rPr>
          <w:rFonts w:ascii="Times New Roman" w:hAnsi="Times New Roman" w:eastAsia="宋体"/>
          <w:b w:val="0"/>
          <w:sz w:val="24"/>
        </w:rPr>
        <w:t>关于本项目实施过程中所产生的知识产权归属，双方明确约定如下：凡因履行本合同而产生的软件著作权、技术成果、设计方案、源代码、数据库及相关文档等全部知识产权，均归招标人所有。中标人须承诺在项目开发及交付过程中，不得将上述成果用于本合同约定范围之外的任何用途，亦不得擅自申请专利、著作权登记或向任何第三方披露、转让或许可使用。中标人应保证其交付成果不侵犯任何第三方的合法权益，如因中标人原因引发知识产权纠纷，由中标人承担全部法律责任及经济赔偿。项目验收合格后，中标人应向招标人移交全部技术资料、源代码及必要的开发环境说明，确保招标人能够独立使用、维护和二次开发相关系统。</w:t>
      </w:r>
    </w:p>
    <w:p>
      <w:r>
        <w:rPr>
          <w:rFonts w:ascii="Times New Roman" w:hAnsi="Times New Roman" w:eastAsia="宋体"/>
          <w:b w:val="0"/>
          <w:sz w:val="24"/>
        </w:rPr>
        <w:t>违约责任条款为本合同的核心约束机制。若中标人未能按照合同约定的工期完成项目交付，每逾期一日，中标人应向招标人支付逾期交付违约金，违约金按合同总价的0.05%计算，该违约金计算方式自合同约定的交付截止日次日起算，直至实际交付之日止。若逾期交付时间累计超过30天，招标人有权单方面解除合同，并要求中标人承担由此造成的全部损失，包括但不限于招标人因项目延期所产生的额外费用、替代方案成本及预期利益损失。中标人对此无异议，并承诺在收到招标人解除合同通知后7日内，无条件退还已收取的全部合同款项，并支付相应的违约金及赔偿金。此外，若中标人交付的成果质量不符合合同约定标准，招标人有权要求中标人限期整改，整改期间仍按逾期交付处理，直至成果验收合格。</w:t>
      </w:r>
    </w:p>
    <w:p>
      <w:r>
        <w:rPr>
          <w:rFonts w:ascii="Times New Roman" w:hAnsi="Times New Roman" w:eastAsia="宋体"/>
          <w:b w:val="0"/>
          <w:sz w:val="24"/>
        </w:rPr>
        <w:t>除逾期交付外，中标人若发生其他违约行为，如擅自转包、分包，或未按投标文件承诺投入相应技术人员、设备，或违反保密义务、知识产权约定等，招标人有权要求中标人限期纠正，并视情节轻重要求中标人支付合同总价5%至10%的违约金。若中标人拒不纠正或纠正后仍不符合要求，招标人有权解除合同，并要求中标人赔偿全部损失。招标人未按合同约定支付进度款的，中标人有权书面催告，招标人逾期支付超过30天的，中标人可暂停项目实施，但招标人支付款项后项目工期相应顺延。双方均应本着诚实信用原则履行合同义务，任何一方不得无故单方解除合同，否则应承担相应的违约责任。</w:t>
      </w:r>
    </w:p>
    <w:p>
      <w:r>
        <w:rPr>
          <w:rFonts w:ascii="Times New Roman" w:hAnsi="Times New Roman" w:eastAsia="宋体"/>
          <w:b w:val="0"/>
          <w:sz w:val="24"/>
        </w:rPr>
        <w:t>合同履行过程中，若发生不可抗力事件，致使合同无法按原定计划履行，遭遇不可抗力的一方应在事件发生后7日内书面通知对方，并提供相关证明材料。双方应根据事件影响程度协商决定延期履行、部分履行或解除合同，因不可抗力造成的损失由各方自行承担。合同履行期间，招标人有权对项目进度、质量、资金使用情况进行监督检查，中标人须予以配合并提供必要的工作条件。项目验收按照招标文件规定的标准及国家相关规范执行，验收合格后进入质保期，质保期不少于两年，质保期内中标人须提供免费维护服务及技术支持，响应时间不超过2小时，现场服务到达时间不超过24小时。质保期满后，双方可另行协商后续运维服务事宜。</w:t>
      </w:r>
    </w:p>
    <w:p>
      <w:r>
        <w:rPr>
          <w:rFonts w:ascii="Times New Roman" w:hAnsi="Times New Roman" w:eastAsia="宋体"/>
          <w:b w:val="0"/>
          <w:sz w:val="24"/>
        </w:rPr>
        <w:t>本合同条款自双方授权代表签字并加盖公章之日起生效，合同有效期至质保期满且所有款项结清之日止。合同未尽事宜，双方可参照《中华人民共和国民法典》及相关法律法规执行，或另行签订补充协议予以明确。因合同履行产生的争议，双方应友好协商解决；协商不成的，任何一方均可向招标人所在地有管辖权的人民法院提起诉讼。中标人在投标时即视为已充分理解并接受上述全部合同条款，不得在合同签订时提出任何实质性修改要求。招标人保留对合同条款的最终解释权，但解释不得违反法律法规的强制性规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Times New Roman" w:hAnsi="Times New Roman"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