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合同违约案例库演示数据"/>
    <w:p>
      <w:pPr>
        <w:pStyle w:val="Heading1"/>
      </w:pPr>
      <w:r>
        <w:t xml:space="preserve">合同违约案例库(演示数据)</w:t>
      </w:r>
    </w:p>
    <w:p>
      <w:pPr>
        <w:pStyle w:val="BlockText"/>
      </w:pPr>
      <w:r>
        <w:t xml:space="preserve">本文件包含 3 个合同违约方向的演示用模拟案例,案情与裁判观点均为虚构演绎,引用的法律条文为现行有效的真实规定。</w:t>
      </w:r>
    </w:p>
    <w:bookmarkStart w:id="26" w:name="案例一工程款逾期付款违约金约定过高被法院酌减案"/>
    <w:p>
      <w:pPr>
        <w:pStyle w:val="Heading2"/>
      </w:pPr>
      <w:r>
        <w:t xml:space="preserve">案例一:工程款逾期付款违约金约定过高被法院酌减案</w:t>
      </w:r>
    </w:p>
    <w:p>
      <w:pPr>
        <w:pStyle w:val="FirstParagraph"/>
      </w:pPr>
      <w:r>
        <w:t xml:space="preserve">【演示用模拟案例,非真实裁判文书,仅用于知识库演示】</w:t>
      </w:r>
    </w:p>
    <w:bookmarkStart w:id="20" w:name="案件类型"/>
    <w:p>
      <w:pPr>
        <w:pStyle w:val="Heading3"/>
      </w:pPr>
      <w:r>
        <w:t xml:space="preserve">案件类型</w:t>
      </w:r>
    </w:p>
    <w:p>
      <w:pPr>
        <w:pStyle w:val="FirstParagraph"/>
      </w:pPr>
      <w:r>
        <w:t xml:space="preserve">合同纠纷——建设工程施工合同逾期付款违约金调整</w:t>
      </w:r>
    </w:p>
    <w:bookmarkEnd w:id="20"/>
    <w:bookmarkStart w:id="21" w:name="基本案情"/>
    <w:p>
      <w:pPr>
        <w:pStyle w:val="Heading3"/>
      </w:pPr>
      <w:r>
        <w:t xml:space="preserve">基本案情</w:t>
      </w:r>
    </w:p>
    <w:p>
      <w:pPr>
        <w:pStyle w:val="FirstParagraph"/>
      </w:pPr>
      <w:r>
        <w:t xml:space="preserve">2021年6月,甲装饰公司与乙酒店签订《室内装修工程施工合同》,合同总价500万元,约定乙酒店应于工程竣工验收合格后30日内付清全款,逾期付款按日万分之五(折合年利率约18.25%)支付违约金。2021年11月工程竣工验收合格,乙酒店仅支付350万元,余款150万元逾期180天后才于2022年5月付清。甲装饰公司起诉,主张逾期付款违约金13.5万元(150万元×0.05%×180天),并提交其因乙酒店逾期付款向银行融资产生的利息损失约4.5万元的凭证。乙酒店辩称违约金约定过高,请求法院酌减。</w:t>
      </w:r>
    </w:p>
    <w:bookmarkEnd w:id="21"/>
    <w:bookmarkStart w:id="22" w:name="争议焦点"/>
    <w:p>
      <w:pPr>
        <w:pStyle w:val="Heading3"/>
      </w:pPr>
      <w:r>
        <w:t xml:space="preserve">争议焦点</w:t>
      </w:r>
    </w:p>
    <w:p>
      <w:pPr>
        <w:pStyle w:val="FirstParagraph"/>
      </w:pPr>
      <w:r>
        <w:t xml:space="preserve">按日万分之五计算的逾期付款违约金是否过分高于实际损失?法院应否依当事人请求予以酌减?</w:t>
      </w:r>
    </w:p>
    <w:bookmarkEnd w:id="22"/>
    <w:bookmarkStart w:id="23" w:name="裁判观点"/>
    <w:p>
      <w:pPr>
        <w:pStyle w:val="Heading3"/>
      </w:pPr>
      <w:r>
        <w:t xml:space="preserve">裁判观点</w:t>
      </w:r>
    </w:p>
    <w:p>
      <w:pPr>
        <w:pStyle w:val="FirstParagraph"/>
      </w:pPr>
      <w:r>
        <w:t xml:space="preserve">根据《民法典》第五百八十五条,当事人可以约定一方违约时应当根据违约情况向对方支付一定数额的违约金;约定的违约金过分高于造成的损失的,人民法院可以根据当事人的请求予以适当减少。根据《最高人民法院关于适用〈中华人民共和国民法典〉合同编通则若干问题的解释》第六十五条,约定的违约金超过造成损失的百分之三十的,一般可以认定为民法典第五百八十五条第二款规定的</w:t>
      </w:r>
      <w:r>
        <w:t xml:space="preserve">“</w:t>
      </w:r>
      <w:r>
        <w:t xml:space="preserve">过分高于造成的损失</w:t>
      </w:r>
      <w:r>
        <w:t xml:space="preserve">”</w:t>
      </w:r>
      <w:r>
        <w:t xml:space="preserve">。本案甲公司的实际损失为融资利息损失4.5万元,按日万分之五计算的违约金13.5万元为其3倍,明显过分高于实际损失,法院依据乙酒店的请求酌减违约金。</w:t>
      </w:r>
    </w:p>
    <w:bookmarkEnd w:id="23"/>
    <w:bookmarkStart w:id="24" w:name="处理结果模拟"/>
    <w:p>
      <w:pPr>
        <w:pStyle w:val="Heading3"/>
      </w:pPr>
      <w:r>
        <w:t xml:space="preserve">处理结果(模拟)</w:t>
      </w:r>
    </w:p>
    <w:p>
      <w:pPr>
        <w:pStyle w:val="FirstParagraph"/>
      </w:pPr>
      <w:r>
        <w:t xml:space="preserve">法院判决乙酒店向甲公司支付逾期付款违约金58,500元(酌减后,相当于在损失基础上上浮30%),驳回甲公司其余违约金请求,案件受理费由双方按比例分担。双方均未上诉。</w:t>
      </w:r>
    </w:p>
    <w:bookmarkEnd w:id="24"/>
    <w:bookmarkStart w:id="25" w:name="对企业启示"/>
    <w:p>
      <w:pPr>
        <w:pStyle w:val="Heading3"/>
      </w:pPr>
      <w:r>
        <w:t xml:space="preserve">对企业启示</w:t>
      </w:r>
    </w:p>
    <w:p>
      <w:pPr>
        <w:numPr>
          <w:ilvl w:val="0"/>
          <w:numId w:val="1001"/>
        </w:numPr>
        <w:pStyle w:val="Compact"/>
      </w:pPr>
      <w:r>
        <w:t xml:space="preserve">违约金约定并非越高越好,过分高于实际损失的约定无法获全额支持,应结合合同标的、履行情况设定合理标准。</w:t>
      </w:r>
    </w:p>
    <w:p>
      <w:pPr>
        <w:numPr>
          <w:ilvl w:val="0"/>
          <w:numId w:val="1001"/>
        </w:numPr>
        <w:pStyle w:val="Compact"/>
      </w:pPr>
      <w:r>
        <w:t xml:space="preserve">守约方应保存因对方违约产生的实际损失证据(融资利息、停窝工损失、替代交易差价等),以便在违约金被酌减时主张损失赔偿。</w:t>
      </w:r>
    </w:p>
    <w:p>
      <w:pPr>
        <w:numPr>
          <w:ilvl w:val="0"/>
          <w:numId w:val="1001"/>
        </w:numPr>
        <w:pStyle w:val="Compact"/>
      </w:pPr>
      <w:r>
        <w:t xml:space="preserve">合同应明确付款节点、验收程序与违约金计算基数,避免对</w:t>
      </w:r>
      <w:r>
        <w:t xml:space="preserve">“</w:t>
      </w:r>
      <w:r>
        <w:t xml:space="preserve">逾期天数</w:t>
      </w:r>
      <w:r>
        <w:t xml:space="preserve">”</w:t>
      </w:r>
      <w:r>
        <w:t xml:space="preserve">“</w:t>
      </w:r>
      <w:r>
        <w:t xml:space="preserve">应付基数</w:t>
      </w:r>
      <w:r>
        <w:t xml:space="preserve">”</w:t>
      </w:r>
      <w:r>
        <w:t xml:space="preserve">的计算起点产生争议。</w:t>
      </w:r>
    </w:p>
    <w:p>
      <w:pPr>
        <w:numPr>
          <w:ilvl w:val="0"/>
          <w:numId w:val="1001"/>
        </w:numPr>
        <w:pStyle w:val="Compact"/>
      </w:pPr>
      <w:r>
        <w:t xml:space="preserve">付款义务方可援引违约金过高规则主动申请酌减,并提交证明损失较小的证据。</w:t>
      </w:r>
    </w:p>
    <w:p>
      <w:pPr>
        <w:numPr>
          <w:ilvl w:val="0"/>
          <w:numId w:val="1001"/>
        </w:numPr>
        <w:pStyle w:val="Compact"/>
      </w:pPr>
      <w:r>
        <w:t xml:space="preserve">可约定逾期付款利息按全国银行间同业拆借中心公布的贷款市场报价利率(LPR)加合理上浮计算,兼顾确定性与合理性。</w:t>
      </w:r>
    </w:p>
    <w:p>
      <w:r>
        <w:pict>
          <v:rect style="width:0;height:1.5pt" o:hralign="center" o:hrstd="t" o:hr="t"/>
        </w:pict>
      </w:r>
    </w:p>
    <w:bookmarkEnd w:id="25"/>
    <w:bookmarkEnd w:id="26"/>
    <w:bookmarkStart w:id="33" w:name="案例二采购合同预付款30后供应商失联案"/>
    <w:p>
      <w:pPr>
        <w:pStyle w:val="Heading2"/>
      </w:pPr>
      <w:r>
        <w:t xml:space="preserve">案例二:采购合同预付款30%后供应商失联案</w:t>
      </w:r>
    </w:p>
    <w:p>
      <w:pPr>
        <w:pStyle w:val="FirstParagraph"/>
      </w:pPr>
      <w:r>
        <w:t xml:space="preserve">【演示用模拟案例,非真实裁判文书,仅用于知识库演示】</w:t>
      </w:r>
    </w:p>
    <w:bookmarkStart w:id="27" w:name="案件类型-1"/>
    <w:p>
      <w:pPr>
        <w:pStyle w:val="Heading3"/>
      </w:pPr>
      <w:r>
        <w:t xml:space="preserve">案件类型</w:t>
      </w:r>
    </w:p>
    <w:p>
      <w:pPr>
        <w:pStyle w:val="FirstParagraph"/>
      </w:pPr>
      <w:r>
        <w:t xml:space="preserve">合同纠纷——买卖合同预付款追索与违约救济</w:t>
      </w:r>
    </w:p>
    <w:bookmarkEnd w:id="27"/>
    <w:bookmarkStart w:id="28" w:name="基本案情-1"/>
    <w:p>
      <w:pPr>
        <w:pStyle w:val="Heading3"/>
      </w:pPr>
      <w:r>
        <w:t xml:space="preserve">基本案情</w:t>
      </w:r>
    </w:p>
    <w:p>
      <w:pPr>
        <w:pStyle w:val="FirstParagraph"/>
      </w:pPr>
      <w:r>
        <w:t xml:space="preserve">2022年3月,丙科技公司与丁贸易公司签订《设备采购合同》,约定丁公司向丙公司供应一批检测设备,总价200万元,付款方式为</w:t>
      </w:r>
      <w:r>
        <w:t xml:space="preserve">“</w:t>
      </w:r>
      <w:r>
        <w:t xml:space="preserve">合同签订后7日内支付预付款60万元(占总价30%),货到验收合格后支付尾款140万元</w:t>
      </w:r>
      <w:r>
        <w:t xml:space="preserve">”</w:t>
      </w:r>
      <w:r>
        <w:t xml:space="preserve">。丙公司依约支付60万元预付款后,丁公司始终未供货。2022年8月起,丁公司办公地址人去楼空、法定代表人失联。丙公司查阅合同发现,合同仅笼统约定</w:t>
      </w:r>
      <w:r>
        <w:t xml:space="preserve">“</w:t>
      </w:r>
      <w:r>
        <w:t xml:space="preserve">货到验收合格后付款</w:t>
      </w:r>
      <w:r>
        <w:t xml:space="preserve">”</w:t>
      </w:r>
      <w:r>
        <w:t xml:space="preserve">,未约定供货期限、验收时间与验收标准,亦未约定逾期交货的违约责任,导致其追讨预付款时难以举证、维权周期被明显拉长。</w:t>
      </w:r>
    </w:p>
    <w:bookmarkEnd w:id="28"/>
    <w:bookmarkStart w:id="29" w:name="争议焦点-1"/>
    <w:p>
      <w:pPr>
        <w:pStyle w:val="Heading3"/>
      </w:pPr>
      <w:r>
        <w:t xml:space="preserve">争议焦点</w:t>
      </w:r>
    </w:p>
    <w:p>
      <w:pPr>
        <w:pStyle w:val="FirstParagraph"/>
      </w:pPr>
      <w:r>
        <w:t xml:space="preserve">供应商失联、拒不供货是否构成根本违约?预付款应否返还?付款条款与验收节点脱钩对权利行使有何影响?</w:t>
      </w:r>
    </w:p>
    <w:bookmarkEnd w:id="29"/>
    <w:bookmarkStart w:id="30" w:name="裁判观点-1"/>
    <w:p>
      <w:pPr>
        <w:pStyle w:val="Heading3"/>
      </w:pPr>
      <w:r>
        <w:t xml:space="preserve">裁判观点</w:t>
      </w:r>
    </w:p>
    <w:p>
      <w:pPr>
        <w:pStyle w:val="FirstParagraph"/>
      </w:pPr>
      <w:r>
        <w:t xml:space="preserve">根据《民法典》第五百七十七条,当事人一方不履行合同义务或者履行合同义务不符合约定的,应当承担继续履行、采取补救措施或者赔偿损失等违约责任。根据《民法典》第五百七十八条,当事人一方明确表示或者以自己的行为表明不履行合同义务的,对方可以在履行期限届满前请求其承担违约责任。根据《民法典》第五百六十三条第一款第三项,当事人一方迟延履行主要债务,经催告后在合理期限内仍未履行的,对方可以解除合同。法院认定丁公司以自己的行为表明不履行供货义务,构成根本违约,判决解除合同并返还预付款及占用期间利息。但因合同未约定供货期限与验收期限,丙公司须先行催告并给予合理履行期限,致维权周期延长、诉讼成本增加。</w:t>
      </w:r>
    </w:p>
    <w:bookmarkEnd w:id="30"/>
    <w:bookmarkStart w:id="31" w:name="处理结果模拟-1"/>
    <w:p>
      <w:pPr>
        <w:pStyle w:val="Heading3"/>
      </w:pPr>
      <w:r>
        <w:t xml:space="preserve">处理结果(模拟)</w:t>
      </w:r>
    </w:p>
    <w:p>
      <w:pPr>
        <w:pStyle w:val="FirstParagraph"/>
      </w:pPr>
      <w:r>
        <w:t xml:space="preserve">法院判决解除双方合同,丁公司返还丙公司预付款60万元,并自起诉之日起按LPR支付利息损失。因丁公司失联,判决经公告送达后进入强制执行程序,因无可供执行的财产,丙公司实际受偿存在较大不确定性。</w:t>
      </w:r>
    </w:p>
    <w:bookmarkEnd w:id="31"/>
    <w:bookmarkStart w:id="32" w:name="对企业启示-1"/>
    <w:p>
      <w:pPr>
        <w:pStyle w:val="Heading3"/>
      </w:pPr>
      <w:r>
        <w:t xml:space="preserve">对企业启示</w:t>
      </w:r>
    </w:p>
    <w:p>
      <w:pPr>
        <w:numPr>
          <w:ilvl w:val="0"/>
          <w:numId w:val="1002"/>
        </w:numPr>
        <w:pStyle w:val="Compact"/>
      </w:pPr>
      <w:r>
        <w:t xml:space="preserve">预付款比例应控制在合理范围(通常不超过合同总价30%),大额预付款应要求供应商提供银行保函、履约保证金等担保。</w:t>
      </w:r>
    </w:p>
    <w:p>
      <w:pPr>
        <w:numPr>
          <w:ilvl w:val="0"/>
          <w:numId w:val="1002"/>
        </w:numPr>
        <w:pStyle w:val="Compact"/>
      </w:pPr>
      <w:r>
        <w:t xml:space="preserve">付款节点必须与供货、验收等履约节点挂钩,明确约定供货期限、验收标准与验收期限,避免</w:t>
      </w:r>
      <w:r>
        <w:t xml:space="preserve">“</w:t>
      </w:r>
      <w:r>
        <w:t xml:space="preserve">付款条款与验收脱钩</w:t>
      </w:r>
      <w:r>
        <w:t xml:space="preserve">”</w:t>
      </w:r>
      <w:r>
        <w:t xml:space="preserve">。</w:t>
      </w:r>
    </w:p>
    <w:p>
      <w:pPr>
        <w:numPr>
          <w:ilvl w:val="0"/>
          <w:numId w:val="1002"/>
        </w:numPr>
        <w:pStyle w:val="Compact"/>
      </w:pPr>
      <w:r>
        <w:t xml:space="preserve">合同应明确逾期交货、逾期验收的违约责任及解除条款,便于守约方及时行使催告、解除与索赔权利。</w:t>
      </w:r>
    </w:p>
    <w:p>
      <w:pPr>
        <w:numPr>
          <w:ilvl w:val="0"/>
          <w:numId w:val="1002"/>
        </w:numPr>
        <w:pStyle w:val="Compact"/>
      </w:pPr>
      <w:r>
        <w:t xml:space="preserve">签约前应尽调供应商资信(工商信息、涉诉记录、股权结构、经营状况),大额采购应实地考察。</w:t>
      </w:r>
    </w:p>
    <w:p>
      <w:pPr>
        <w:numPr>
          <w:ilvl w:val="0"/>
          <w:numId w:val="1002"/>
        </w:numPr>
        <w:pStyle w:val="Compact"/>
      </w:pPr>
      <w:r>
        <w:t xml:space="preserve">保留付款凭证、催告函、沟通记录等证据,发现对方失联苗头时及时发函催告并启动诉讼、申请财产保全。</w:t>
      </w:r>
    </w:p>
    <w:p>
      <w:r>
        <w:pict>
          <v:rect style="width:0;height:1.5pt" o:hralign="center" o:hrstd="t" o:hr="t"/>
        </w:pict>
      </w:r>
    </w:p>
    <w:bookmarkEnd w:id="32"/>
    <w:bookmarkEnd w:id="33"/>
    <w:bookmarkStart w:id="40" w:name="案例三电子合同效力争议案"/>
    <w:p>
      <w:pPr>
        <w:pStyle w:val="Heading2"/>
      </w:pPr>
      <w:r>
        <w:t xml:space="preserve">案例三:电子合同效力争议案</w:t>
      </w:r>
    </w:p>
    <w:p>
      <w:pPr>
        <w:pStyle w:val="FirstParagraph"/>
      </w:pPr>
      <w:r>
        <w:t xml:space="preserve">【演示用模拟案例,非真实裁判文书,仅用于知识库演示】</w:t>
      </w:r>
    </w:p>
    <w:bookmarkStart w:id="34" w:name="案件类型-2"/>
    <w:p>
      <w:pPr>
        <w:pStyle w:val="Heading3"/>
      </w:pPr>
      <w:r>
        <w:t xml:space="preserve">案件类型</w:t>
      </w:r>
    </w:p>
    <w:p>
      <w:pPr>
        <w:pStyle w:val="FirstParagraph"/>
      </w:pPr>
      <w:r>
        <w:t xml:space="preserve">合同纠纷——电子合同成立与电子签名效力认定</w:t>
      </w:r>
    </w:p>
    <w:bookmarkEnd w:id="34"/>
    <w:bookmarkStart w:id="35" w:name="基本案情-2"/>
    <w:p>
      <w:pPr>
        <w:pStyle w:val="Heading3"/>
      </w:pPr>
      <w:r>
        <w:t xml:space="preserve">基本案情</w:t>
      </w:r>
    </w:p>
    <w:p>
      <w:pPr>
        <w:pStyle w:val="FirstParagraph"/>
      </w:pPr>
      <w:r>
        <w:t xml:space="preserve">2022年9月,戊个人通过某在线教育平台(己公司)官网注册账户,在线勾选《用户服务协议》并点击</w:t>
      </w:r>
      <w:r>
        <w:t xml:space="preserve">“</w:t>
      </w:r>
      <w:r>
        <w:t xml:space="preserve">同意并支付</w:t>
      </w:r>
      <w:r>
        <w:t xml:space="preserve">”</w:t>
      </w:r>
      <w:r>
        <w:t xml:space="preserve">,购买了价值9,800元的在线课程,支付过程采用了己公司合作的第三方电子认证服务机构签发的数字证书完成电子签名。后戊以</w:t>
      </w:r>
      <w:r>
        <w:t xml:space="preserve">“</w:t>
      </w:r>
      <w:r>
        <w:t xml:space="preserve">未签订书面合同、协议条款未经本人签字确认</w:t>
      </w:r>
      <w:r>
        <w:t xml:space="preserve">”</w:t>
      </w:r>
      <w:r>
        <w:t xml:space="preserve">为由,主张合同不成立,要求全额退款。己公司提交电子签名验证报告,证明该签名系戊本人实名认证后作出。法院查明,戊在注册及支付时均完成实名认证与人脸识别,签署过程使用了可靠电子签名。</w:t>
      </w:r>
    </w:p>
    <w:bookmarkEnd w:id="35"/>
    <w:bookmarkStart w:id="36" w:name="争议焦点-2"/>
    <w:p>
      <w:pPr>
        <w:pStyle w:val="Heading3"/>
      </w:pPr>
      <w:r>
        <w:t xml:space="preserve">争议焦点</w:t>
      </w:r>
    </w:p>
    <w:p>
      <w:pPr>
        <w:pStyle w:val="FirstParagraph"/>
      </w:pPr>
      <w:r>
        <w:t xml:space="preserve">在线勾选协议并使用电子签名签署的电子合同是否成立并生效?可靠电子签名是否具有与手写签名同等的法律效力?</w:t>
      </w:r>
    </w:p>
    <w:bookmarkEnd w:id="36"/>
    <w:bookmarkStart w:id="37" w:name="裁判观点-2"/>
    <w:p>
      <w:pPr>
        <w:pStyle w:val="Heading3"/>
      </w:pPr>
      <w:r>
        <w:t xml:space="preserve">裁判观点</w:t>
      </w:r>
    </w:p>
    <w:p>
      <w:pPr>
        <w:pStyle w:val="FirstParagraph"/>
      </w:pPr>
      <w:r>
        <w:t xml:space="preserve">根据《电子签名法》第十三条,电子签名同时符合</w:t>
      </w:r>
      <w:r>
        <w:t xml:space="preserve">“</w:t>
      </w:r>
      <w:r>
        <w:t xml:space="preserve">电子签名制作数据用于电子签名时,属于电子签名人专有</w:t>
      </w:r>
      <w:r>
        <w:t xml:space="preserve">”</w:t>
      </w:r>
      <w:r>
        <w:t xml:space="preserve">“</w:t>
      </w:r>
      <w:r>
        <w:t xml:space="preserve">签署时电子签名制作数据仅由电子签名人控制</w:t>
      </w:r>
      <w:r>
        <w:t xml:space="preserve">”</w:t>
      </w:r>
      <w:r>
        <w:t xml:space="preserve">“</w:t>
      </w:r>
      <w:r>
        <w:t xml:space="preserve">签署后对电子签名的任何改动能够被发现</w:t>
      </w:r>
      <w:r>
        <w:t xml:space="preserve">”</w:t>
      </w:r>
      <w:r>
        <w:t xml:space="preserve">“</w:t>
      </w:r>
      <w:r>
        <w:t xml:space="preserve">签署后对数据电文内容和形式的任何改动能够被发现</w:t>
      </w:r>
      <w:r>
        <w:t xml:space="preserve">”</w:t>
      </w:r>
      <w:r>
        <w:t xml:space="preserve">四项条件的,视为可靠的电子签名。根据《电子签名法》第十四条,可靠的电子签名与手写签名或者盖章具有同等的法律效力。根据《民法典》第四百九十一条第二款,当事人一方通过互联网等信息网络发布的商品或者服务信息符合要约条件的,对方选择该商品或者服务并提交订单成功时合同成立,但是当事人另有约定的除外。法院认定,戊经实名认证、人脸识别后点击确认并使用可靠电子签名签署的电子合同合法有效,合同已成立并生效。</w:t>
      </w:r>
    </w:p>
    <w:bookmarkEnd w:id="37"/>
    <w:bookmarkStart w:id="38" w:name="处理结果模拟-2"/>
    <w:p>
      <w:pPr>
        <w:pStyle w:val="Heading3"/>
      </w:pPr>
      <w:r>
        <w:t xml:space="preserve">处理结果(模拟)</w:t>
      </w:r>
    </w:p>
    <w:p>
      <w:pPr>
        <w:pStyle w:val="FirstParagraph"/>
      </w:pPr>
      <w:r>
        <w:t xml:space="preserve">法院判决驳回戊要求确认合同不成立、全额退款的诉讼请求;因己公司课程服务存在质量瑕疵,判决己公司向戊退还部分费用2,000元。双方均未上诉。</w:t>
      </w:r>
    </w:p>
    <w:bookmarkEnd w:id="38"/>
    <w:bookmarkStart w:id="39" w:name="对企业启示-2"/>
    <w:p>
      <w:pPr>
        <w:pStyle w:val="Heading3"/>
      </w:pPr>
      <w:r>
        <w:t xml:space="preserve">对企业启示</w:t>
      </w:r>
    </w:p>
    <w:p>
      <w:pPr>
        <w:numPr>
          <w:ilvl w:val="0"/>
          <w:numId w:val="1003"/>
        </w:numPr>
        <w:pStyle w:val="Compact"/>
      </w:pPr>
      <w:r>
        <w:t xml:space="preserve">采用符合《电子签名法》要求的电子签名服务(第三方电子认证服务机构签发数字证书、实名认证、人脸识别),确保签名的可靠性。</w:t>
      </w:r>
    </w:p>
    <w:p>
      <w:pPr>
        <w:numPr>
          <w:ilvl w:val="0"/>
          <w:numId w:val="1003"/>
        </w:numPr>
        <w:pStyle w:val="Compact"/>
      </w:pPr>
      <w:r>
        <w:t xml:space="preserve">完整保存注册、认证、签署、支付全流程的操作日志与验证报告,电子签名验证证据应可随时调取。</w:t>
      </w:r>
    </w:p>
    <w:p>
      <w:pPr>
        <w:numPr>
          <w:ilvl w:val="0"/>
          <w:numId w:val="1003"/>
        </w:numPr>
        <w:pStyle w:val="Compact"/>
      </w:pPr>
      <w:r>
        <w:t xml:space="preserve">用户协议中的重要条款(价格、退换货、争议解决)应履行提示说明义务,以显著方式提醒,避免格式条款被认定无效。</w:t>
      </w:r>
    </w:p>
    <w:p>
      <w:pPr>
        <w:numPr>
          <w:ilvl w:val="0"/>
          <w:numId w:val="1003"/>
        </w:numPr>
        <w:pStyle w:val="Compact"/>
      </w:pPr>
      <w:r>
        <w:t xml:space="preserve">对</w:t>
      </w:r>
      <w:r>
        <w:t xml:space="preserve">“</w:t>
      </w:r>
      <w:r>
        <w:t xml:space="preserve">点击即同意</w:t>
      </w:r>
      <w:r>
        <w:t xml:space="preserve">”</w:t>
      </w:r>
      <w:r>
        <w:t xml:space="preserve">流程留存操作记录,确保用户</w:t>
      </w:r>
      <w:r>
        <w:t xml:space="preserve">“</w:t>
      </w:r>
      <w:r>
        <w:t xml:space="preserve">同意</w:t>
      </w:r>
      <w:r>
        <w:t xml:space="preserve">”</w:t>
      </w:r>
      <w:r>
        <w:t xml:space="preserve">的意思表示真实、可追溯。</w:t>
      </w:r>
    </w:p>
    <w:p>
      <w:pPr>
        <w:numPr>
          <w:ilvl w:val="0"/>
          <w:numId w:val="1003"/>
        </w:numPr>
        <w:pStyle w:val="Compact"/>
      </w:pPr>
      <w:r>
        <w:t xml:space="preserve">定期对电子签约系统进行合规审计,同步关注《电子签名法》《民法典》合同编及网络安全相关要求。</w:t>
      </w:r>
    </w:p>
    <w:p>
      <w:r>
        <w:pict>
          <v:rect style="width:0;height:1.5pt" o:hralign="center" o:hrstd="t" o:hr="t"/>
        </w:pict>
      </w:r>
    </w:p>
    <w:bookmarkEnd w:id="39"/>
    <w:bookmarkEnd w:id="40"/>
    <w:bookmarkStart w:id="41" w:name="案例库使用说明"/>
    <w:p>
      <w:pPr>
        <w:pStyle w:val="Heading2"/>
      </w:pPr>
      <w:r>
        <w:t xml:space="preserve">案例库使用说明</w:t>
      </w:r>
    </w:p>
    <w:p>
      <w:pPr>
        <w:pStyle w:val="FirstParagraph"/>
      </w:pPr>
      <w:r>
        <w:t xml:space="preserve">本案例库中的全部案例均为【演示用模拟案例,非真实裁判文书,仅用于知识库演示】。</w:t>
      </w:r>
    </w:p>
    <w:p>
      <w:pPr>
        <w:numPr>
          <w:ilvl w:val="0"/>
          <w:numId w:val="1004"/>
        </w:numPr>
        <w:pStyle w:val="Compact"/>
      </w:pPr>
      <w:r>
        <w:t xml:space="preserve">案例中的人物、公司名称、时间、金额及具体案情均为虚构演绎,如有雷同纯属巧合。</w:t>
      </w:r>
    </w:p>
    <w:p>
      <w:pPr>
        <w:numPr>
          <w:ilvl w:val="0"/>
          <w:numId w:val="1004"/>
        </w:numPr>
        <w:pStyle w:val="Compact"/>
      </w:pPr>
      <w:r>
        <w:t xml:space="preserve">案例引用的法律、行政法规及司法解释条文均为现行有效的真实规定,但案情叙述与裁判观点均为模拟演绎,不构成正式法律意见。</w:t>
      </w:r>
    </w:p>
    <w:p>
      <w:pPr>
        <w:numPr>
          <w:ilvl w:val="0"/>
          <w:numId w:val="1004"/>
        </w:numPr>
        <w:pStyle w:val="Compact"/>
      </w:pPr>
      <w:r>
        <w:t xml:space="preserve">本案例库仅用于法律知识检索、普法培训与企业合规教学,不得作为诉讼、仲裁、监管应对或其他法律事务的依据;具体案件请以司法机关生效裁判、行政机关决定为准。</w:t>
      </w:r>
    </w:p>
    <w:p>
      <w:pPr>
        <w:numPr>
          <w:ilvl w:val="0"/>
          <w:numId w:val="1004"/>
        </w:numPr>
        <w:pStyle w:val="Compact"/>
      </w:pPr>
      <w:r>
        <w:t xml:space="preserve">法律法规可能修订或出台新解释,使用前请核对条文的最新有效文本。</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2026-08-08T04:22:50Z</dcterms:created>
  <dcterms:modified xsi:type="dcterms:W3CDTF">2026-08-08T04:22:50Z</dcterms:modified>
</cp:coreProperties>
</file>

<file path=docProps/custom.xml><?xml version="1.0" encoding="utf-8"?>
<Properties xmlns="http://schemas.openxmlformats.org/officeDocument/2006/custom-properties" xmlns:vt="http://schemas.openxmlformats.org/officeDocument/2006/docPropsVTypes"/>
</file>