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数据泄露案例库演示数据"/>
    <w:p>
      <w:pPr>
        <w:pStyle w:val="Heading1"/>
      </w:pPr>
      <w:r>
        <w:t xml:space="preserve">数据泄露案例库(演示数据)</w:t>
      </w:r>
    </w:p>
    <w:p>
      <w:pPr>
        <w:pStyle w:val="BlockText"/>
      </w:pPr>
      <w:r>
        <w:t xml:space="preserve">本文件包含 3 个数据安全与个人信息保护方向的演示用模拟案例,案情与处罚情节均为虚构演绎,引用的法律条文为现行有效的真实规定。</w:t>
      </w:r>
    </w:p>
    <w:bookmarkStart w:id="26" w:name="案例一员工违规导出客户个人信息公司被罚款并追责案"/>
    <w:p>
      <w:pPr>
        <w:pStyle w:val="Heading2"/>
      </w:pPr>
      <w:r>
        <w:t xml:space="preserve">案例一:员工违规导出客户个人信息,公司被罚款并追责案</w:t>
      </w:r>
    </w:p>
    <w:p>
      <w:pPr>
        <w:pStyle w:val="FirstParagraph"/>
      </w:pPr>
      <w:r>
        <w:t xml:space="preserve">【演示用模拟案例,非真实裁判文书,仅用于知识库演示】</w:t>
      </w:r>
    </w:p>
    <w:bookmarkStart w:id="20" w:name="案件类型"/>
    <w:p>
      <w:pPr>
        <w:pStyle w:val="Heading3"/>
      </w:pPr>
      <w:r>
        <w:t xml:space="preserve">案件类型</w:t>
      </w:r>
    </w:p>
    <w:p>
      <w:pPr>
        <w:pStyle w:val="FirstParagraph"/>
      </w:pPr>
      <w:r>
        <w:t xml:space="preserve">行政监管与刑事——个人信息保护行政处罚及员工追责</w:t>
      </w:r>
    </w:p>
    <w:bookmarkEnd w:id="20"/>
    <w:bookmarkStart w:id="21" w:name="基本案情"/>
    <w:p>
      <w:pPr>
        <w:pStyle w:val="Heading3"/>
      </w:pPr>
      <w:r>
        <w:t xml:space="preserve">基本案情</w:t>
      </w:r>
    </w:p>
    <w:p>
      <w:pPr>
        <w:pStyle w:val="FirstParagraph"/>
      </w:pPr>
      <w:r>
        <w:t xml:space="preserve">某消费金融公司(下称</w:t>
      </w:r>
      <w:r>
        <w:t xml:space="preserve">“</w:t>
      </w:r>
      <w:r>
        <w:t xml:space="preserve">金科公司</w:t>
      </w:r>
      <w:r>
        <w:t xml:space="preserve">”</w:t>
      </w:r>
      <w:r>
        <w:t xml:space="preserve">)在经营中收集了大量客户的姓名、身份证号、手机号、信贷记录等个人信息。2022年4月,金科公司员工孙某利用系统权限,未经审批分批次导出客户个人信息共计8万余条,并通过网盘对外发送,意图出售牟利。事件发生后,孙某被司法机关以侵犯公民个人信息罪立案追诉。同时,监管部门调查发现,金科公司内部权限管理粗放、未对批量导出设置审批与监测机制,未采取加密、去标识化等安全技术措施,未尽到个人信息保护义务。</w:t>
      </w:r>
    </w:p>
    <w:bookmarkEnd w:id="21"/>
    <w:bookmarkStart w:id="22" w:name="争议焦点"/>
    <w:p>
      <w:pPr>
        <w:pStyle w:val="Heading3"/>
      </w:pPr>
      <w:r>
        <w:t xml:space="preserve">争议焦点</w:t>
      </w:r>
    </w:p>
    <w:p>
      <w:pPr>
        <w:pStyle w:val="FirstParagraph"/>
      </w:pPr>
      <w:r>
        <w:t xml:space="preserve">金科公司作为个人信息处理者是否履行了法定的个人信息保护义务?其责任如何认定?涉事员工应否被追究法律责任?</w:t>
      </w:r>
    </w:p>
    <w:bookmarkEnd w:id="22"/>
    <w:bookmarkStart w:id="23" w:name="裁判观点"/>
    <w:p>
      <w:pPr>
        <w:pStyle w:val="Heading3"/>
      </w:pPr>
      <w:r>
        <w:t xml:space="preserve">裁判观点</w:t>
      </w:r>
    </w:p>
    <w:p>
      <w:pPr>
        <w:pStyle w:val="FirstParagraph"/>
      </w:pPr>
      <w:r>
        <w:t xml:space="preserve">根据《个人信息保护法》第六十六条,违反本法规定处理个人信息,或者处理个人信息未履行本法规定的个人信息保护义务的,由履行个人信息保护职责的部门责令改正,给予警告,没收违法所得;情节严重的,处五千万元以下或者上一年度营业额百分之五以下罚款,并可以责令暂停相关业务或者停业整顿、吊销相关业务许可或者吊销营业执照;对直接负责的主管人员和其他直接责任人员处十万元以上一百万元以下罚款。本案中,金科公司批量导出客户个人信息,既未按《个人信息保护法》第五十一条采取加密、去标识化等安全技术措施,也未按该法第六条确定最小必要原则、控制个人信息访问范围,导致大量个人信息被违规导出,情节严重。</w:t>
      </w:r>
    </w:p>
    <w:bookmarkEnd w:id="23"/>
    <w:bookmarkStart w:id="24" w:name="处理结果模拟"/>
    <w:p>
      <w:pPr>
        <w:pStyle w:val="Heading3"/>
      </w:pPr>
      <w:r>
        <w:t xml:space="preserve">处理结果(模拟)</w:t>
      </w:r>
    </w:p>
    <w:p>
      <w:pPr>
        <w:pStyle w:val="FirstParagraph"/>
      </w:pPr>
      <w:r>
        <w:t xml:space="preserve">监管部门对金科公司责令改正、没收违法所得,并处400万元罚款;对直接负责的主管人员处以15万元罚款。涉事员工孙某被另案追究刑事责任并依法承担相应民事责任,金科公司同步完善了权限管理与批量导出监测机制。</w:t>
      </w:r>
    </w:p>
    <w:bookmarkEnd w:id="24"/>
    <w:bookmarkStart w:id="25" w:name="对企业启示"/>
    <w:p>
      <w:pPr>
        <w:pStyle w:val="Heading3"/>
      </w:pPr>
      <w:r>
        <w:t xml:space="preserve">对企业启示</w:t>
      </w:r>
    </w:p>
    <w:p>
      <w:pPr>
        <w:numPr>
          <w:ilvl w:val="0"/>
          <w:numId w:val="1001"/>
        </w:numPr>
        <w:pStyle w:val="Compact"/>
      </w:pPr>
      <w:r>
        <w:t xml:space="preserve">落实最小必要原则:按岗位职责最小化授予个人信息访问权限,禁止无关人员接触敏感个人信息。</w:t>
      </w:r>
    </w:p>
    <w:p>
      <w:pPr>
        <w:numPr>
          <w:ilvl w:val="0"/>
          <w:numId w:val="1001"/>
        </w:numPr>
        <w:pStyle w:val="Compact"/>
      </w:pPr>
      <w:r>
        <w:t xml:space="preserve">对批量导出、下载、拷贝个人信息设置审批流程、双人复核与实时监测,做到</w:t>
      </w:r>
      <w:r>
        <w:t xml:space="preserve">“</w:t>
      </w:r>
      <w:r>
        <w:t xml:space="preserve">操作留痕、异常告警</w:t>
      </w:r>
      <w:r>
        <w:t xml:space="preserve">”</w:t>
      </w:r>
      <w:r>
        <w:t xml:space="preserve">。</w:t>
      </w:r>
    </w:p>
    <w:p>
      <w:pPr>
        <w:numPr>
          <w:ilvl w:val="0"/>
          <w:numId w:val="1001"/>
        </w:numPr>
        <w:pStyle w:val="Compact"/>
      </w:pPr>
      <w:r>
        <w:t xml:space="preserve">采取加密、去标识化、访问控制等安全技术措施,建立个人信息安全事件应急响应机制。</w:t>
      </w:r>
    </w:p>
    <w:p>
      <w:pPr>
        <w:numPr>
          <w:ilvl w:val="0"/>
          <w:numId w:val="1001"/>
        </w:numPr>
        <w:pStyle w:val="Compact"/>
      </w:pPr>
      <w:r>
        <w:t xml:space="preserve">定期开展员工个人信息保护合规培训,明确违规操作的纪律处分与刑事、民事法律责任。</w:t>
      </w:r>
    </w:p>
    <w:p>
      <w:pPr>
        <w:numPr>
          <w:ilvl w:val="0"/>
          <w:numId w:val="1001"/>
        </w:numPr>
        <w:pStyle w:val="Compact"/>
      </w:pPr>
      <w:r>
        <w:t xml:space="preserve">发生泄露后及时向监管部门报告并配合调查,依法整改,以争取从轻或减轻处罚。</w:t>
      </w:r>
    </w:p>
    <w:p>
      <w:r>
        <w:pict>
          <v:rect style="width:0;height:1.5pt" o:hralign="center" o:hrstd="t" o:hr="t"/>
        </w:pict>
      </w:r>
    </w:p>
    <w:bookmarkEnd w:id="25"/>
    <w:bookmarkEnd w:id="26"/>
    <w:bookmarkStart w:id="33" w:name="案例二对外提供数据未脱敏导致泄露被处罚案"/>
    <w:p>
      <w:pPr>
        <w:pStyle w:val="Heading2"/>
      </w:pPr>
      <w:r>
        <w:t xml:space="preserve">案例二:对外提供数据未脱敏导致泄露被处罚案</w:t>
      </w:r>
    </w:p>
    <w:p>
      <w:pPr>
        <w:pStyle w:val="FirstParagraph"/>
      </w:pPr>
      <w:r>
        <w:t xml:space="preserve">【演示用模拟案例,非真实裁判文书,仅用于知识库演示】</w:t>
      </w:r>
    </w:p>
    <w:bookmarkStart w:id="27" w:name="案件类型-1"/>
    <w:p>
      <w:pPr>
        <w:pStyle w:val="Heading3"/>
      </w:pPr>
      <w:r>
        <w:t xml:space="preserve">案件类型</w:t>
      </w:r>
    </w:p>
    <w:p>
      <w:pPr>
        <w:pStyle w:val="FirstParagraph"/>
      </w:pPr>
      <w:r>
        <w:t xml:space="preserve">行政监管——数据安全行政处罚及整改</w:t>
      </w:r>
    </w:p>
    <w:bookmarkEnd w:id="27"/>
    <w:bookmarkStart w:id="28" w:name="基本案情-1"/>
    <w:p>
      <w:pPr>
        <w:pStyle w:val="Heading3"/>
      </w:pPr>
      <w:r>
        <w:t xml:space="preserve">基本案情</w:t>
      </w:r>
    </w:p>
    <w:p>
      <w:pPr>
        <w:pStyle w:val="FirstParagraph"/>
      </w:pPr>
      <w:r>
        <w:t xml:space="preserve">某政务数据运营公司(下称</w:t>
      </w:r>
      <w:r>
        <w:t xml:space="preserve">“</w:t>
      </w:r>
      <w:r>
        <w:t xml:space="preserve">政通公司</w:t>
      </w:r>
      <w:r>
        <w:t xml:space="preserve">”</w:t>
      </w:r>
      <w:r>
        <w:t xml:space="preserve">)受托管理一批包含个人信息的政务数据。2022年7月,政通公司在向一家合作研究机构提供统计数据时,未按要求对原始数据中的姓名、身份证号、住址等敏感字段进行脱敏处理,将原始数据打包交付。合作机构数据管理人员操作不当,将数据文件上传至公开互联网,造成大量个人信息泄露。监管部门调查认定,政通公司作为数据处理者未履行数据安全保护义务,未对对外提供的数据进行脱敏处理,未对合作方进行必要的数据安全监督。</w:t>
      </w:r>
    </w:p>
    <w:bookmarkEnd w:id="28"/>
    <w:bookmarkStart w:id="29" w:name="争议焦点-1"/>
    <w:p>
      <w:pPr>
        <w:pStyle w:val="Heading3"/>
      </w:pPr>
      <w:r>
        <w:t xml:space="preserve">争议焦点</w:t>
      </w:r>
    </w:p>
    <w:p>
      <w:pPr>
        <w:pStyle w:val="FirstParagraph"/>
      </w:pPr>
      <w:r>
        <w:t xml:space="preserve">政通公司对外提供数据未脱敏是否构成未履行数据安全保护义务?造成的泄露后果应如何量罚?</w:t>
      </w:r>
    </w:p>
    <w:bookmarkEnd w:id="29"/>
    <w:bookmarkStart w:id="30" w:name="裁判观点-1"/>
    <w:p>
      <w:pPr>
        <w:pStyle w:val="Heading3"/>
      </w:pPr>
      <w:r>
        <w:t xml:space="preserve">裁判观点</w:t>
      </w:r>
    </w:p>
    <w:p>
      <w:pPr>
        <w:pStyle w:val="FirstParagraph"/>
      </w:pPr>
      <w:r>
        <w:t xml:space="preserve">根据《数据安全法》第四十五条,开展数据处理活动的组织、个人不履行本法规定的数据安全保护义务的,由有关主管部门责令改正,给予警告,可以并处五万元以上五十万元以下罚款;拒不改正或者造成大量数据泄露等严重后果的,处五十万元以上二百万元以下罚款,并可以责令暂停相关业务、停业整顿、吊销相关业务许可证或者吊销营业执照,对直接负责的主管人员和其他直接责任人员处五万元以上二十万元以下罚款。根据《数据安全法》第二十七条,开展数据处理活动应当依照法律、法规的规定,建立健全全流程数据安全管理制度,采取相应的技术措施和其他必要措施,保障数据安全。本案中,政通公司对外提供数据未脱敏,造成大量个人信息泄露,属于造成严重后果的情形。</w:t>
      </w:r>
    </w:p>
    <w:bookmarkEnd w:id="30"/>
    <w:bookmarkStart w:id="31" w:name="处理结果模拟-1"/>
    <w:p>
      <w:pPr>
        <w:pStyle w:val="Heading3"/>
      </w:pPr>
      <w:r>
        <w:t xml:space="preserve">处理结果(模拟)</w:t>
      </w:r>
    </w:p>
    <w:p>
      <w:pPr>
        <w:pStyle w:val="FirstParagraph"/>
      </w:pPr>
      <w:r>
        <w:t xml:space="preserve">监管部门责令政通公司改正并处以100万元罚款,对直接负责的主管人员处以8万元罚款;政通公司被责令暂停相关数据业务进行整改,并与合作机构终止数据合作。</w:t>
      </w:r>
    </w:p>
    <w:bookmarkEnd w:id="31"/>
    <w:bookmarkStart w:id="32" w:name="对企业启示-1"/>
    <w:p>
      <w:pPr>
        <w:pStyle w:val="Heading3"/>
      </w:pPr>
      <w:r>
        <w:t xml:space="preserve">对企业启示</w:t>
      </w:r>
    </w:p>
    <w:p>
      <w:pPr>
        <w:numPr>
          <w:ilvl w:val="0"/>
          <w:numId w:val="1002"/>
        </w:numPr>
        <w:pStyle w:val="Compact"/>
      </w:pPr>
      <w:r>
        <w:t xml:space="preserve">对外提供、共享、委托处理数据前,必须对个人信息和敏感数据执行脱敏、去标识化、匿名化处理,并留存脱敏处理记录。</w:t>
      </w:r>
    </w:p>
    <w:p>
      <w:pPr>
        <w:numPr>
          <w:ilvl w:val="0"/>
          <w:numId w:val="1002"/>
        </w:numPr>
        <w:pStyle w:val="Compact"/>
      </w:pPr>
      <w:r>
        <w:t xml:space="preserve">建立数据对外提供审批机制,明确数据范围、字段清单、提供方式与用途限制,并签署数据安全协议。</w:t>
      </w:r>
    </w:p>
    <w:p>
      <w:pPr>
        <w:numPr>
          <w:ilvl w:val="0"/>
          <w:numId w:val="1002"/>
        </w:numPr>
        <w:pStyle w:val="Compact"/>
      </w:pPr>
      <w:r>
        <w:t xml:space="preserve">对合作方、受托方进行数据安全能力评估并持续监督,约定数据泄露时的责任承担与赔偿条款。</w:t>
      </w:r>
    </w:p>
    <w:p>
      <w:pPr>
        <w:numPr>
          <w:ilvl w:val="0"/>
          <w:numId w:val="1002"/>
        </w:numPr>
        <w:pStyle w:val="Compact"/>
      </w:pPr>
      <w:r>
        <w:t xml:space="preserve">依据《数据安全法》建立数据分类分级制度与数据全生命周期安全管理制度。</w:t>
      </w:r>
    </w:p>
    <w:p>
      <w:pPr>
        <w:numPr>
          <w:ilvl w:val="0"/>
          <w:numId w:val="1002"/>
        </w:numPr>
        <w:pStyle w:val="Compact"/>
      </w:pPr>
      <w:r>
        <w:t xml:space="preserve">发生数据泄露后应立即启动应急处置、及时告知与报告,防止损害扩大并留存处置记录。</w:t>
      </w:r>
    </w:p>
    <w:p>
      <w:r>
        <w:pict>
          <v:rect style="width:0;height:1.5pt" o:hralign="center" o:hrstd="t" o:hr="t"/>
        </w:pict>
      </w:r>
    </w:p>
    <w:bookmarkEnd w:id="32"/>
    <w:bookmarkEnd w:id="33"/>
    <w:bookmarkStart w:id="40" w:name="案例三发生网络安全事件未按规定报告被处罚案"/>
    <w:p>
      <w:pPr>
        <w:pStyle w:val="Heading2"/>
      </w:pPr>
      <w:r>
        <w:t xml:space="preserve">案例三:发生网络安全事件未按规定报告被处罚案</w:t>
      </w:r>
    </w:p>
    <w:p>
      <w:pPr>
        <w:pStyle w:val="FirstParagraph"/>
      </w:pPr>
      <w:r>
        <w:t xml:space="preserve">【演示用模拟案例,非真实裁判文书,仅用于知识库演示】</w:t>
      </w:r>
    </w:p>
    <w:bookmarkStart w:id="34" w:name="案件类型-2"/>
    <w:p>
      <w:pPr>
        <w:pStyle w:val="Heading3"/>
      </w:pPr>
      <w:r>
        <w:t xml:space="preserve">案件类型</w:t>
      </w:r>
    </w:p>
    <w:p>
      <w:pPr>
        <w:pStyle w:val="FirstParagraph"/>
      </w:pPr>
      <w:r>
        <w:t xml:space="preserve">行政监管——网络安全事件报告义务违法处罚及整改</w:t>
      </w:r>
    </w:p>
    <w:bookmarkEnd w:id="34"/>
    <w:bookmarkStart w:id="35" w:name="基本案情-2"/>
    <w:p>
      <w:pPr>
        <w:pStyle w:val="Heading3"/>
      </w:pPr>
      <w:r>
        <w:t xml:space="preserve">基本案情</w:t>
      </w:r>
    </w:p>
    <w:p>
      <w:pPr>
        <w:pStyle w:val="FirstParagraph"/>
      </w:pPr>
      <w:r>
        <w:t xml:space="preserve">某电商平台运营公司(下称</w:t>
      </w:r>
      <w:r>
        <w:t xml:space="preserve">“</w:t>
      </w:r>
      <w:r>
        <w:t xml:space="preserve">电商公司</w:t>
      </w:r>
      <w:r>
        <w:t xml:space="preserve">”</w:t>
      </w:r>
      <w:r>
        <w:t xml:space="preserve">)于2023年1月发生系统漏洞被利用、数据库遭入侵的事件,约50万条用户个人信息被窃取。电商公司发现后仅内部修复漏洞,未按《网络安全法》规定向有关主管部门报告,也未及时告知用户。直至2023年4月,监管部门在例行检查中发现该事件,电商公司才承认事实。监管部门调查认定,电商公司作为网络运营者,在发生危害网络安全的事件后未按规定履行报告义务,未依法采取补救措施并告知用户。</w:t>
      </w:r>
    </w:p>
    <w:bookmarkEnd w:id="35"/>
    <w:bookmarkStart w:id="36" w:name="争议焦点-2"/>
    <w:p>
      <w:pPr>
        <w:pStyle w:val="Heading3"/>
      </w:pPr>
      <w:r>
        <w:t xml:space="preserve">争议焦点</w:t>
      </w:r>
    </w:p>
    <w:p>
      <w:pPr>
        <w:pStyle w:val="FirstParagraph"/>
      </w:pPr>
      <w:r>
        <w:t xml:space="preserve">电商公司发生网络安全事件后未按规定报告、未告知用户,是否违反《网络安全法》规定的义务?应承担何种法律责任?</w:t>
      </w:r>
    </w:p>
    <w:bookmarkEnd w:id="36"/>
    <w:bookmarkStart w:id="37" w:name="裁判观点-2"/>
    <w:p>
      <w:pPr>
        <w:pStyle w:val="Heading3"/>
      </w:pPr>
      <w:r>
        <w:t xml:space="preserve">裁判观点</w:t>
      </w:r>
    </w:p>
    <w:p>
      <w:pPr>
        <w:pStyle w:val="FirstParagraph"/>
      </w:pPr>
      <w:r>
        <w:t xml:space="preserve">根据《网络安全法》第四十二条,网络运营者应当采取技术措施和其他必要措施,确保其收集的个人信息安全,防止信息泄露、毁损、丢失;在发生或者可能发生个人信息泄露、毁损、丢失的情况时,应当立即采取补救措施,按照规定及时告知用户并向有关主管部门报告。根据《网络安全法》第二十五条,网络运营者应当制定网络安全事件应急预案,及时处置系统漏洞、计算机病毒、网络攻击、网络侵入等安全风险;在发生危害网络安全的事件时,立即启动应急预案,采取相应的补救措施,并按照规定向有关主管部门报告。根据《网络安全法》第五十九条,网络运营者不履行本法规定的网络安全保护义务的,由有关主管部门责令改正,给予警告;拒不改正或者导致危害网络安全等后果的,处一万元以上十万元以下罚款,对直接负责的主管人员处五千元以上五万元以下罚款。本案电商公司未履行报告义务,且未及时告知用户,应承担相应责任。</w:t>
      </w:r>
    </w:p>
    <w:bookmarkEnd w:id="37"/>
    <w:bookmarkStart w:id="38" w:name="处理结果模拟-2"/>
    <w:p>
      <w:pPr>
        <w:pStyle w:val="Heading3"/>
      </w:pPr>
      <w:r>
        <w:t xml:space="preserve">处理结果(模拟)</w:t>
      </w:r>
    </w:p>
    <w:p>
      <w:pPr>
        <w:pStyle w:val="FirstParagraph"/>
      </w:pPr>
      <w:r>
        <w:t xml:space="preserve">监管部门责令电商公司改正并给予警告,处以8万元罚款,对直接负责的主管人员处以2万元罚款;电商公司被要求限期整改,完善网络安全应急预案与报告、告知机制,并向受影响的用户履行告知义务。</w:t>
      </w:r>
    </w:p>
    <w:bookmarkEnd w:id="38"/>
    <w:bookmarkStart w:id="39" w:name="对企业启示-2"/>
    <w:p>
      <w:pPr>
        <w:pStyle w:val="Heading3"/>
      </w:pPr>
      <w:r>
        <w:t xml:space="preserve">对企业启示</w:t>
      </w:r>
    </w:p>
    <w:p>
      <w:pPr>
        <w:numPr>
          <w:ilvl w:val="0"/>
          <w:numId w:val="1003"/>
        </w:numPr>
        <w:pStyle w:val="Compact"/>
      </w:pPr>
      <w:r>
        <w:t xml:space="preserve">制定并演练网络安全事件应急预案,明确事件发现、评估、处置、报告、告知的全流程职责分工。</w:t>
      </w:r>
    </w:p>
    <w:p>
      <w:pPr>
        <w:numPr>
          <w:ilvl w:val="0"/>
          <w:numId w:val="1003"/>
        </w:numPr>
        <w:pStyle w:val="Compact"/>
      </w:pPr>
      <w:r>
        <w:t xml:space="preserve">发生或可能发生个人信息泄露、丢失时,应当立即采取补救措施,并按照规定及时向主管部门报告、告知用户。</w:t>
      </w:r>
    </w:p>
    <w:p>
      <w:pPr>
        <w:numPr>
          <w:ilvl w:val="0"/>
          <w:numId w:val="1003"/>
        </w:numPr>
        <w:pStyle w:val="Compact"/>
      </w:pPr>
      <w:r>
        <w:t xml:space="preserve">定期开展漏洞扫描、渗透测试与系统风险评估,及时修复高危漏洞,从源头降低事件发生概率。</w:t>
      </w:r>
    </w:p>
    <w:p>
      <w:pPr>
        <w:numPr>
          <w:ilvl w:val="0"/>
          <w:numId w:val="1003"/>
        </w:numPr>
        <w:pStyle w:val="Compact"/>
      </w:pPr>
      <w:r>
        <w:t xml:space="preserve">落实网络安全等级保护制度,按定级要求落实相应的安全保护技术与管理措施。</w:t>
      </w:r>
    </w:p>
    <w:p>
      <w:pPr>
        <w:numPr>
          <w:ilvl w:val="0"/>
          <w:numId w:val="1003"/>
        </w:numPr>
        <w:pStyle w:val="Compact"/>
      </w:pPr>
      <w:r>
        <w:t xml:space="preserve">建立安全事件台账与复盘机制,对报告义务设置内部提醒与责任考核,防止瞒报、迟报。</w:t>
      </w:r>
    </w:p>
    <w:p>
      <w:r>
        <w:pict>
          <v:rect style="width:0;height:1.5pt" o:hralign="center" o:hrstd="t" o:hr="t"/>
        </w:pict>
      </w:r>
    </w:p>
    <w:bookmarkEnd w:id="39"/>
    <w:bookmarkEnd w:id="40"/>
    <w:bookmarkStart w:id="41" w:name="案例库使用说明"/>
    <w:p>
      <w:pPr>
        <w:pStyle w:val="Heading2"/>
      </w:pPr>
      <w:r>
        <w:t xml:space="preserve">案例库使用说明</w:t>
      </w:r>
    </w:p>
    <w:p>
      <w:pPr>
        <w:pStyle w:val="FirstParagraph"/>
      </w:pPr>
      <w:r>
        <w:t xml:space="preserve">本案例库中的全部案例均为【演示用模拟案例,非真实裁判文书,仅用于知识库演示】。</w:t>
      </w:r>
    </w:p>
    <w:p>
      <w:pPr>
        <w:numPr>
          <w:ilvl w:val="0"/>
          <w:numId w:val="1004"/>
        </w:numPr>
        <w:pStyle w:val="Compact"/>
      </w:pPr>
      <w:r>
        <w:t xml:space="preserve">案例中的人物、公司名称、时间、金额及具体案情均为虚构演绎,如有雷同纯属巧合。</w:t>
      </w:r>
    </w:p>
    <w:p>
      <w:pPr>
        <w:numPr>
          <w:ilvl w:val="0"/>
          <w:numId w:val="1004"/>
        </w:numPr>
        <w:pStyle w:val="Compact"/>
      </w:pPr>
      <w:r>
        <w:t xml:space="preserve">案例引用的法律、行政法规及司法解释条文均为现行有效的真实规定,但案情叙述与处罚情节均为模拟演绎,不构成正式法律意见。</w:t>
      </w:r>
    </w:p>
    <w:p>
      <w:pPr>
        <w:numPr>
          <w:ilvl w:val="0"/>
          <w:numId w:val="1004"/>
        </w:numPr>
        <w:pStyle w:val="Compact"/>
      </w:pPr>
      <w:r>
        <w:t xml:space="preserve">本案例库仅用于法律知识检索、普法培训与企业合规教学,不得作为诉讼、仲裁、监管应对或其他法律事务的依据;具体案件请以司法机关生效裁判、行政机关决定为准。</w:t>
      </w:r>
    </w:p>
    <w:p>
      <w:pPr>
        <w:numPr>
          <w:ilvl w:val="0"/>
          <w:numId w:val="1004"/>
        </w:numPr>
        <w:pStyle w:val="Compact"/>
      </w:pPr>
      <w:r>
        <w:t xml:space="preserve">法律法规可能修订或出台新解释,使用前请核对条文的最新有效文本。</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2026-08-08T04:22:50Z</dcterms:created>
  <dcterms:modified xsi:type="dcterms:W3CDTF">2026-08-08T04:22:50Z</dcterms:modified>
</cp:coreProperties>
</file>

<file path=docProps/custom.xml><?xml version="1.0" encoding="utf-8"?>
<Properties xmlns="http://schemas.openxmlformats.org/officeDocument/2006/custom-properties" xmlns:vt="http://schemas.openxmlformats.org/officeDocument/2006/docPropsVTypes"/>
</file>