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知识产权纠纷案例库演示数据"/>
    <w:p>
      <w:pPr>
        <w:pStyle w:val="Heading1"/>
      </w:pPr>
      <w:r>
        <w:t xml:space="preserve">知识产权纠纷案例库(演示数据)</w:t>
      </w:r>
    </w:p>
    <w:p>
      <w:pPr>
        <w:pStyle w:val="BlockText"/>
      </w:pPr>
      <w:r>
        <w:t xml:space="preserve">本文件包含 3 个知识产权方向的演示用模拟案例,案情与裁判观点均为虚构演绎,引用的法律条文为现行有效的真实规定。</w:t>
      </w:r>
    </w:p>
    <w:bookmarkStart w:id="26" w:name="案例一专利侵权及惩罚性赔偿案"/>
    <w:p>
      <w:pPr>
        <w:pStyle w:val="Heading2"/>
      </w:pPr>
      <w:r>
        <w:t xml:space="preserve">案例一:专利侵权及惩罚性赔偿案</w:t>
      </w:r>
    </w:p>
    <w:p>
      <w:pPr>
        <w:pStyle w:val="FirstParagraph"/>
      </w:pPr>
      <w:r>
        <w:t xml:space="preserve">【演示用模拟案例,非真实裁判文书,仅用于知识库演示】</w:t>
      </w:r>
    </w:p>
    <w:bookmarkStart w:id="20" w:name="案件类型"/>
    <w:p>
      <w:pPr>
        <w:pStyle w:val="Heading3"/>
      </w:pPr>
      <w:r>
        <w:t xml:space="preserve">案件类型</w:t>
      </w:r>
    </w:p>
    <w:p>
      <w:pPr>
        <w:pStyle w:val="FirstParagraph"/>
      </w:pPr>
      <w:r>
        <w:t xml:space="preserve">知识产权侵权——发明专利侵权及惩罚性赔偿</w:t>
      </w:r>
    </w:p>
    <w:bookmarkEnd w:id="20"/>
    <w:bookmarkStart w:id="21" w:name="基本案情"/>
    <w:p>
      <w:pPr>
        <w:pStyle w:val="Heading3"/>
      </w:pPr>
      <w:r>
        <w:t xml:space="preserve">基本案情</w:t>
      </w:r>
    </w:p>
    <w:p>
      <w:pPr>
        <w:pStyle w:val="FirstParagraph"/>
      </w:pPr>
      <w:r>
        <w:t xml:space="preserve">庚科技公司系名称为</w:t>
      </w:r>
      <w:r>
        <w:t xml:space="preserve">“</w:t>
      </w:r>
      <w:r>
        <w:t xml:space="preserve">一种节能电机控制系统</w:t>
      </w:r>
      <w:r>
        <w:t xml:space="preserve">”</w:t>
      </w:r>
      <w:r>
        <w:t xml:space="preserve">的发明专利(专利号ZL20201XXXXXX.X)的专利权人。2021年,庚公司曾向辛机电公司发送专利侵权警告函,指其产品涉嫌侵权。2022年起,庚公司发现辛公司在未获许可的情况下仍持续制造、销售与其专利技术方案完全相同的电机控制系统,经审计其侵权获利约320万元。庚公司诉至法院,主张辛公司构成专利侵权,并以其收到警告函后仍继续侵权为由,请求适用惩罚性赔偿。辛公司辩称其技术系自主研发,不构成侵权。</w:t>
      </w:r>
    </w:p>
    <w:bookmarkEnd w:id="21"/>
    <w:bookmarkStart w:id="22" w:name="争议焦点"/>
    <w:p>
      <w:pPr>
        <w:pStyle w:val="Heading3"/>
      </w:pPr>
      <w:r>
        <w:t xml:space="preserve">争议焦点</w:t>
      </w:r>
    </w:p>
    <w:p>
      <w:pPr>
        <w:pStyle w:val="FirstParagraph"/>
      </w:pPr>
      <w:r>
        <w:t xml:space="preserve">辛公司的技术方案是否落入涉案专利保护范围?是否构成故意侵权且情节严重?惩罚性赔偿的基数与倍数如何确定?</w:t>
      </w:r>
    </w:p>
    <w:bookmarkEnd w:id="22"/>
    <w:bookmarkStart w:id="23" w:name="裁判观点"/>
    <w:p>
      <w:pPr>
        <w:pStyle w:val="Heading3"/>
      </w:pPr>
      <w:r>
        <w:t xml:space="preserve">裁判观点</w:t>
      </w:r>
    </w:p>
    <w:p>
      <w:pPr>
        <w:pStyle w:val="FirstParagraph"/>
      </w:pPr>
      <w:r>
        <w:t xml:space="preserve">根据《专利法》第七十一条,侵犯专利权的赔偿数额按照权利人因被侵权所受到的实际损失或者侵权人因侵权所获得的利益确定;权利人的损失或者侵权人获得的利益难以确定的,参照该专利许可使用费的倍数合理确定。对故意侵犯专利权,情节严重的,人民法院可以在按照上述方法确定数额的一倍以上五倍以下给予赔偿。赔偿数额还应当包括权利人为制止侵权行为所支付的合理开支。法院经技术比对认定,辛公司未经许可实施涉案专利,构成侵权;其收到警告函后仍继续制造、销售,主观上属于故意,客观上持续侵权、获利较大,属于情节严重,依法适用惩罚性赔偿。以辛公司侵权获利320万元为基数,酌定按1.5倍计算赔偿数额。</w:t>
      </w:r>
    </w:p>
    <w:bookmarkEnd w:id="23"/>
    <w:bookmarkStart w:id="24" w:name="处理结果模拟"/>
    <w:p>
      <w:pPr>
        <w:pStyle w:val="Heading3"/>
      </w:pPr>
      <w:r>
        <w:t xml:space="preserve">处理结果(模拟)</w:t>
      </w:r>
    </w:p>
    <w:p>
      <w:pPr>
        <w:pStyle w:val="FirstParagraph"/>
      </w:pPr>
      <w:r>
        <w:t xml:space="preserve">法院判决辛公司立即停止侵权、销毁库存侵权产品,赔偿庚公司经济损失480万元(320万元×1.5倍)及为制止侵权支出的合理费用6万元,合计486万元。辛公司上诉,二审维持原判。</w:t>
      </w:r>
    </w:p>
    <w:bookmarkEnd w:id="24"/>
    <w:bookmarkStart w:id="25" w:name="对企业启示"/>
    <w:p>
      <w:pPr>
        <w:pStyle w:val="Heading3"/>
      </w:pPr>
      <w:r>
        <w:t xml:space="preserve">对企业启示</w:t>
      </w:r>
    </w:p>
    <w:p>
      <w:pPr>
        <w:numPr>
          <w:ilvl w:val="0"/>
          <w:numId w:val="1001"/>
        </w:numPr>
        <w:pStyle w:val="Compact"/>
      </w:pPr>
      <w:r>
        <w:t xml:space="preserve">建立专利申请与保护体系,核心技术及时申请专利,并留存研发过程记录(技术交底书、实验记录、立项文件)以证明权属。</w:t>
      </w:r>
    </w:p>
    <w:p>
      <w:pPr>
        <w:numPr>
          <w:ilvl w:val="0"/>
          <w:numId w:val="1001"/>
        </w:numPr>
        <w:pStyle w:val="Compact"/>
      </w:pPr>
      <w:r>
        <w:t xml:space="preserve">发现侵权后及时固定证据并发送侵权警告函,警告函既是维权依据,也是日后认定惩罚性赔偿</w:t>
      </w:r>
      <w:r>
        <w:t xml:space="preserve">“</w:t>
      </w:r>
      <w:r>
        <w:t xml:space="preserve">故意</w:t>
      </w:r>
      <w:r>
        <w:t xml:space="preserve">”</w:t>
      </w:r>
      <w:r>
        <w:t xml:space="preserve">情形的关键证据。</w:t>
      </w:r>
    </w:p>
    <w:p>
      <w:pPr>
        <w:numPr>
          <w:ilvl w:val="0"/>
          <w:numId w:val="1001"/>
        </w:numPr>
        <w:pStyle w:val="Compact"/>
      </w:pPr>
      <w:r>
        <w:t xml:space="preserve">侵权获利证据是赔偿计算的核心,维权时及时申请证据保全、调查令,或请求法院责令侵权人提交与侵权相关的账簿、资料。</w:t>
      </w:r>
    </w:p>
    <w:p>
      <w:pPr>
        <w:numPr>
          <w:ilvl w:val="0"/>
          <w:numId w:val="1001"/>
        </w:numPr>
        <w:pStyle w:val="Compact"/>
      </w:pPr>
      <w:r>
        <w:t xml:space="preserve">收到侵权警告函后应审慎评估并立即停止可疑行为,切勿在明知侵权的情况下继续生产销售,以免被认定故意侵权而承担一倍至五倍的惩罚性赔偿。</w:t>
      </w:r>
    </w:p>
    <w:p>
      <w:pPr>
        <w:numPr>
          <w:ilvl w:val="0"/>
          <w:numId w:val="1001"/>
        </w:numPr>
        <w:pStyle w:val="Compact"/>
      </w:pPr>
      <w:r>
        <w:t xml:space="preserve">产品上市前开展自由实施分析(FTO)与专利侵权风险排查,从源头避免无意侵权。</w:t>
      </w:r>
    </w:p>
    <w:p>
      <w:r>
        <w:pict>
          <v:rect style="width:0;height:1.5pt" o:hralign="center" o:hrstd="t" o:hr="t"/>
        </w:pict>
      </w:r>
    </w:p>
    <w:bookmarkEnd w:id="25"/>
    <w:bookmarkEnd w:id="26"/>
    <w:bookmarkStart w:id="33" w:name="案例二软件著作权侵权及赔偿案"/>
    <w:p>
      <w:pPr>
        <w:pStyle w:val="Heading2"/>
      </w:pPr>
      <w:r>
        <w:t xml:space="preserve">案例二:软件著作权侵权及赔偿案</w:t>
      </w:r>
    </w:p>
    <w:p>
      <w:pPr>
        <w:pStyle w:val="FirstParagraph"/>
      </w:pPr>
      <w:r>
        <w:t xml:space="preserve">【演示用模拟案例,非真实裁判文书,仅用于知识库演示】</w:t>
      </w:r>
    </w:p>
    <w:bookmarkStart w:id="27" w:name="案件类型-1"/>
    <w:p>
      <w:pPr>
        <w:pStyle w:val="Heading3"/>
      </w:pPr>
      <w:r>
        <w:t xml:space="preserve">案件类型</w:t>
      </w:r>
    </w:p>
    <w:p>
      <w:pPr>
        <w:pStyle w:val="FirstParagraph"/>
      </w:pPr>
      <w:r>
        <w:t xml:space="preserve">知识产权侵权——计算机软件著作权侵权及合理开支</w:t>
      </w:r>
    </w:p>
    <w:bookmarkEnd w:id="27"/>
    <w:bookmarkStart w:id="28" w:name="基本案情-1"/>
    <w:p>
      <w:pPr>
        <w:pStyle w:val="Heading3"/>
      </w:pPr>
      <w:r>
        <w:t xml:space="preserve">基本案情</w:t>
      </w:r>
    </w:p>
    <w:p>
      <w:pPr>
        <w:pStyle w:val="FirstParagraph"/>
      </w:pPr>
      <w:r>
        <w:t xml:space="preserve">壬软件公司自主研发了</w:t>
      </w:r>
      <w:r>
        <w:t xml:space="preserve">“</w:t>
      </w:r>
      <w:r>
        <w:t xml:space="preserve">某智能仓储管理软件V3.0</w:t>
      </w:r>
      <w:r>
        <w:t xml:space="preserve">”</w:t>
      </w:r>
      <w:r>
        <w:t xml:space="preserve">,并于2020年取得计算机软件著作权登记证书。壬公司发现,癸信息科技公司在其对外交付的仓储管理系统中,擅自复制了壬公司软件的核心源代码模块,并以明显低价争夺客户。经司法鉴定,癸公司软件与壬公司软件源代码的相同率达到72%。壬公司诉至法院,要求癸公司停止侵权、赔偿经济损失150万元及为制止侵权支出的合理费用8万元。癸公司辩称双方员工曾有技术交流,代码存在部分相似属正常现象。</w:t>
      </w:r>
    </w:p>
    <w:bookmarkEnd w:id="28"/>
    <w:bookmarkStart w:id="29" w:name="争议焦点-1"/>
    <w:p>
      <w:pPr>
        <w:pStyle w:val="Heading3"/>
      </w:pPr>
      <w:r>
        <w:t xml:space="preserve">争议焦点</w:t>
      </w:r>
    </w:p>
    <w:p>
      <w:pPr>
        <w:pStyle w:val="FirstParagraph"/>
      </w:pPr>
      <w:r>
        <w:t xml:space="preserve">癸公司软件是否构成对壬公司软件著作权的复制、侵权?赔偿数额及合理开支如何确定?</w:t>
      </w:r>
    </w:p>
    <w:bookmarkEnd w:id="29"/>
    <w:bookmarkStart w:id="30" w:name="裁判观点-1"/>
    <w:p>
      <w:pPr>
        <w:pStyle w:val="Heading3"/>
      </w:pPr>
      <w:r>
        <w:t xml:space="preserve">裁判观点</w:t>
      </w:r>
    </w:p>
    <w:p>
      <w:pPr>
        <w:pStyle w:val="FirstParagraph"/>
      </w:pPr>
      <w:r>
        <w:t xml:space="preserve">根据《著作权法》第五十四条,侵犯著作权或者与著作权有关的权利的,侵权人应当按照权利人因此受到的实际损失或者侵权人的违法所得给予赔偿;权利人的实际损失或者侵权人的违法所得难以计算的,可以参照该权利使用费给予赔偿。对故意侵犯著作权或者与著作权有关的权利,情节严重的,可以在按照上述方法确定数额的一倍以上五倍以下给予赔偿。权利人的实际损失、侵权人的违法所得、权利使用费难以计算的,由人民法院根据侵权行为的情节,判决给予五百元以上五百万元以下的赔偿。赔偿数额还应当包括权利人为制止侵权行为所支付的合理开支。法院结合鉴定结论、双方软件整体比对及癸公司销售情况,认定癸公司未经许可复制壬公司软件源代码,构成著作权侵权。</w:t>
      </w:r>
    </w:p>
    <w:bookmarkEnd w:id="30"/>
    <w:bookmarkStart w:id="31" w:name="处理结果模拟-1"/>
    <w:p>
      <w:pPr>
        <w:pStyle w:val="Heading3"/>
      </w:pPr>
      <w:r>
        <w:t xml:space="preserve">处理结果(模拟)</w:t>
      </w:r>
    </w:p>
    <w:p>
      <w:pPr>
        <w:pStyle w:val="FirstParagraph"/>
      </w:pPr>
      <w:r>
        <w:t xml:space="preserve">法院判决癸公司停止侵权、删除侵权源代码,赔偿壬公司经济损失120万元及合理开支8万元,合计128万元。判决生效后,双方就履行方式达成执行和解。</w:t>
      </w:r>
    </w:p>
    <w:bookmarkEnd w:id="31"/>
    <w:bookmarkStart w:id="32" w:name="对企业启示-1"/>
    <w:p>
      <w:pPr>
        <w:pStyle w:val="Heading3"/>
      </w:pPr>
      <w:r>
        <w:t xml:space="preserve">对企业启示</w:t>
      </w:r>
    </w:p>
    <w:p>
      <w:pPr>
        <w:numPr>
          <w:ilvl w:val="0"/>
          <w:numId w:val="1002"/>
        </w:numPr>
        <w:pStyle w:val="Compact"/>
      </w:pPr>
      <w:r>
        <w:t xml:space="preserve">软件研发应使用版本管理工具并留存提交记录、代码注释与开发文档,形成完整的权属证据链。</w:t>
      </w:r>
    </w:p>
    <w:p>
      <w:pPr>
        <w:numPr>
          <w:ilvl w:val="0"/>
          <w:numId w:val="1002"/>
        </w:numPr>
        <w:pStyle w:val="Compact"/>
      </w:pPr>
      <w:r>
        <w:t xml:space="preserve">及时办理计算机软件著作权登记,登记证书是维权时证明权属的初步证据,应妥善保管。</w:t>
      </w:r>
    </w:p>
    <w:p>
      <w:pPr>
        <w:numPr>
          <w:ilvl w:val="0"/>
          <w:numId w:val="1002"/>
        </w:numPr>
        <w:pStyle w:val="Compact"/>
      </w:pPr>
      <w:r>
        <w:t xml:space="preserve">开发环节应进行源代码合规审查,规范开源代码与第三方代码的使用与授权,防范</w:t>
      </w:r>
      <w:r>
        <w:t xml:space="preserve">“</w:t>
      </w:r>
      <w:r>
        <w:t xml:space="preserve">代码搬运</w:t>
      </w:r>
      <w:r>
        <w:t xml:space="preserve">”</w:t>
      </w:r>
      <w:r>
        <w:t xml:space="preserve">风险。</w:t>
      </w:r>
    </w:p>
    <w:p>
      <w:pPr>
        <w:numPr>
          <w:ilvl w:val="0"/>
          <w:numId w:val="1002"/>
        </w:numPr>
        <w:pStyle w:val="Compact"/>
      </w:pPr>
      <w:r>
        <w:t xml:space="preserve">对核心研发人员实行源代码保密与竞业限制管理,防范核心代码随人员流动而泄露、流失。</w:t>
      </w:r>
    </w:p>
    <w:p>
      <w:pPr>
        <w:numPr>
          <w:ilvl w:val="0"/>
          <w:numId w:val="1002"/>
        </w:numPr>
        <w:pStyle w:val="Compact"/>
      </w:pPr>
      <w:r>
        <w:t xml:space="preserve">维权时同时主张合理开支(公证费、鉴定费、律师费等),以提高实际获赔金额、弥补维权成本。</w:t>
      </w:r>
    </w:p>
    <w:p>
      <w:r>
        <w:pict>
          <v:rect style="width:0;height:1.5pt" o:hralign="center" o:hrstd="t" o:hr="t"/>
        </w:pict>
      </w:r>
    </w:p>
    <w:bookmarkEnd w:id="32"/>
    <w:bookmarkEnd w:id="33"/>
    <w:bookmarkStart w:id="40" w:name="案例三员工跳槽带走商业秘密案"/>
    <w:p>
      <w:pPr>
        <w:pStyle w:val="Heading2"/>
      </w:pPr>
      <w:r>
        <w:t xml:space="preserve">案例三:员工跳槽带走商业秘密案</w:t>
      </w:r>
    </w:p>
    <w:p>
      <w:pPr>
        <w:pStyle w:val="FirstParagraph"/>
      </w:pPr>
      <w:r>
        <w:t xml:space="preserve">【演示用模拟案例,非真实裁判文书,仅用于知识库演示】</w:t>
      </w:r>
    </w:p>
    <w:bookmarkStart w:id="34" w:name="案件类型-2"/>
    <w:p>
      <w:pPr>
        <w:pStyle w:val="Heading3"/>
      </w:pPr>
      <w:r>
        <w:t xml:space="preserve">案件类型</w:t>
      </w:r>
    </w:p>
    <w:p>
      <w:pPr>
        <w:pStyle w:val="FirstParagraph"/>
      </w:pPr>
      <w:r>
        <w:t xml:space="preserve">不正当竞争——员工跳槽侵犯商业秘密及连带责任</w:t>
      </w:r>
    </w:p>
    <w:bookmarkEnd w:id="34"/>
    <w:bookmarkStart w:id="35" w:name="基本案情-2"/>
    <w:p>
      <w:pPr>
        <w:pStyle w:val="Heading3"/>
      </w:pPr>
      <w:r>
        <w:t xml:space="preserve">基本案情</w:t>
      </w:r>
    </w:p>
    <w:p>
      <w:pPr>
        <w:pStyle w:val="FirstParagraph"/>
      </w:pPr>
      <w:r>
        <w:t xml:space="preserve">子生物公司投入大量研发资源,形成</w:t>
      </w:r>
      <w:r>
        <w:t xml:space="preserve">“</w:t>
      </w:r>
      <w:r>
        <w:t xml:space="preserve">细胞培养工艺参数及客户名录</w:t>
      </w:r>
      <w:r>
        <w:t xml:space="preserve">”</w:t>
      </w:r>
      <w:r>
        <w:t xml:space="preserve">等技术、经营信息,并与员工签订保密协议、实行分级权限管理。2022年,该公司前技术总监赵某离职后入职竞争对手丑生物公司,将掌握的工艺参数及客户信息提供给丑公司,丑公司据此生产同类产品并低价揽客。子公司发现客户流失、技术泄密后,诉请赵某与丑公司停止侵权,并连带赔偿经济损失及合理开支200万元。丑公司辩称相关技术信息已为公众所知悉,不构成商业秘密。</w:t>
      </w:r>
    </w:p>
    <w:bookmarkEnd w:id="35"/>
    <w:bookmarkStart w:id="36" w:name="争议焦点-2"/>
    <w:p>
      <w:pPr>
        <w:pStyle w:val="Heading3"/>
      </w:pPr>
      <w:r>
        <w:t xml:space="preserve">争议焦点</w:t>
      </w:r>
    </w:p>
    <w:p>
      <w:pPr>
        <w:pStyle w:val="FirstParagraph"/>
      </w:pPr>
      <w:r>
        <w:t xml:space="preserve">涉案工艺参数及客户名录是否构成商业秘密?赵某与丑公司的行为是否构成侵犯商业秘密?是否应承担连带责任?</w:t>
      </w:r>
    </w:p>
    <w:bookmarkEnd w:id="36"/>
    <w:bookmarkStart w:id="37" w:name="裁判观点-2"/>
    <w:p>
      <w:pPr>
        <w:pStyle w:val="Heading3"/>
      </w:pPr>
      <w:r>
        <w:t xml:space="preserve">裁判观点</w:t>
      </w:r>
    </w:p>
    <w:p>
      <w:pPr>
        <w:pStyle w:val="FirstParagraph"/>
      </w:pPr>
      <w:r>
        <w:t xml:space="preserve">根据《反不正当竞争法》第九条,经营者不得违反保密义务或者违反权利人有关保守商业秘密的要求,披露、使用或者允许他人使用其所掌握的商业秘密;第三人明知或者应知商业秘密权利人的员工、前员工或者其他单位、个人实施违法行为,仍获取、披露、使用或者允许他人使用该商业秘密的,视为侵犯商业秘密。本法所称的商业秘密,是指不为公众所知悉、具有商业价值并经权利人采取相应保密措施的技术信息、经营信息等商业信息。本案涉案工艺参数及客户名录不为公众所知悉、具有商业价值,且子公司已通过与员工签订保密协议、分级权限管理等方式采取保密措施,构成商业秘密。赵某违反保密义务披露、使用,丑公司明知赵某负有保密义务仍获取并使用,均构成侵犯商业秘密。根据《反不正当竞争法》第十七条,经营者违反本法规定,给他人造成损害的,应当依法承担民事责任;赵某与丑公司构成共同侵权,应承担连带赔偿责任。</w:t>
      </w:r>
    </w:p>
    <w:bookmarkEnd w:id="37"/>
    <w:bookmarkStart w:id="38" w:name="处理结果模拟-2"/>
    <w:p>
      <w:pPr>
        <w:pStyle w:val="Heading3"/>
      </w:pPr>
      <w:r>
        <w:t xml:space="preserve">处理结果(模拟)</w:t>
      </w:r>
    </w:p>
    <w:p>
      <w:pPr>
        <w:pStyle w:val="FirstParagraph"/>
      </w:pPr>
      <w:r>
        <w:t xml:space="preserve">法院判决赵某与丑公司停止侵权、销毁载有涉案商业秘密的资料,并连带赔偿子公司经济损失及合理开支合计180万元。二审维持原判。</w:t>
      </w:r>
    </w:p>
    <w:bookmarkEnd w:id="38"/>
    <w:bookmarkStart w:id="39" w:name="对企业启示-2"/>
    <w:p>
      <w:pPr>
        <w:pStyle w:val="Heading3"/>
      </w:pPr>
      <w:r>
        <w:t xml:space="preserve">对企业启示</w:t>
      </w:r>
    </w:p>
    <w:p>
      <w:pPr>
        <w:numPr>
          <w:ilvl w:val="0"/>
          <w:numId w:val="1003"/>
        </w:numPr>
        <w:pStyle w:val="Compact"/>
      </w:pPr>
      <w:r>
        <w:t xml:space="preserve">完善商业秘密管理制度:分级授权、访问留痕、涉密区域管控、数据加密存储,并留存已采取保密措施的证据。</w:t>
      </w:r>
    </w:p>
    <w:p>
      <w:pPr>
        <w:numPr>
          <w:ilvl w:val="0"/>
          <w:numId w:val="1003"/>
        </w:numPr>
        <w:pStyle w:val="Compact"/>
      </w:pPr>
      <w:r>
        <w:t xml:space="preserve">与高管、核心技术人员签订保密协议与竞业限制协议,明确商业秘密的范围、保密期限与违约责任。</w:t>
      </w:r>
    </w:p>
    <w:p>
      <w:pPr>
        <w:numPr>
          <w:ilvl w:val="0"/>
          <w:numId w:val="1003"/>
        </w:numPr>
        <w:pStyle w:val="Compact"/>
      </w:pPr>
      <w:r>
        <w:t xml:space="preserve">员工离职时办理涉密资料交接与系统权限回收,出具离职保密承诺函,必要时启动离职保密审计。</w:t>
      </w:r>
    </w:p>
    <w:p>
      <w:pPr>
        <w:numPr>
          <w:ilvl w:val="0"/>
          <w:numId w:val="1003"/>
        </w:numPr>
        <w:pStyle w:val="Compact"/>
      </w:pPr>
      <w:r>
        <w:t xml:space="preserve">招聘时应审查候选人是否对前雇主负有保密或竞业限制义务,防范引进人员</w:t>
      </w:r>
      <w:r>
        <w:t xml:space="preserve">“</w:t>
      </w:r>
      <w:r>
        <w:t xml:space="preserve">携带技术</w:t>
      </w:r>
      <w:r>
        <w:t xml:space="preserve">”</w:t>
      </w:r>
      <w:r>
        <w:t xml:space="preserve">造成侵权。</w:t>
      </w:r>
    </w:p>
    <w:p>
      <w:pPr>
        <w:numPr>
          <w:ilvl w:val="0"/>
          <w:numId w:val="1003"/>
        </w:numPr>
        <w:pStyle w:val="Compact"/>
      </w:pPr>
      <w:r>
        <w:t xml:space="preserve">发现泄密后及时固定证据、发送停止侵权函,并综合评估刑事报案与民事诉讼并行维权的路径。</w:t>
      </w:r>
    </w:p>
    <w:p>
      <w:r>
        <w:pict>
          <v:rect style="width:0;height:1.5pt" o:hralign="center" o:hrstd="t" o:hr="t"/>
        </w:pict>
      </w:r>
    </w:p>
    <w:bookmarkEnd w:id="39"/>
    <w:bookmarkEnd w:id="40"/>
    <w:bookmarkStart w:id="41" w:name="案例库使用说明"/>
    <w:p>
      <w:pPr>
        <w:pStyle w:val="Heading2"/>
      </w:pPr>
      <w:r>
        <w:t xml:space="preserve">案例库使用说明</w:t>
      </w:r>
    </w:p>
    <w:p>
      <w:pPr>
        <w:pStyle w:val="FirstParagraph"/>
      </w:pPr>
      <w:r>
        <w:t xml:space="preserve">本案例库中的全部案例均为【演示用模拟案例,非真实裁判文书,仅用于知识库演示】。</w:t>
      </w:r>
    </w:p>
    <w:p>
      <w:pPr>
        <w:numPr>
          <w:ilvl w:val="0"/>
          <w:numId w:val="1004"/>
        </w:numPr>
        <w:pStyle w:val="Compact"/>
      </w:pPr>
      <w:r>
        <w:t xml:space="preserve">案例中的人物、公司名称、时间、金额及具体案情均为虚构演绎,如有雷同纯属巧合。</w:t>
      </w:r>
    </w:p>
    <w:p>
      <w:pPr>
        <w:numPr>
          <w:ilvl w:val="0"/>
          <w:numId w:val="1004"/>
        </w:numPr>
        <w:pStyle w:val="Compact"/>
      </w:pPr>
      <w:r>
        <w:t xml:space="preserve">案例引用的法律、行政法规及司法解释条文均为现行有效的真实规定,但案情叙述与裁判观点均为模拟演绎,不构成正式法律意见。</w:t>
      </w:r>
    </w:p>
    <w:p>
      <w:pPr>
        <w:numPr>
          <w:ilvl w:val="0"/>
          <w:numId w:val="1004"/>
        </w:numPr>
        <w:pStyle w:val="Compact"/>
      </w:pPr>
      <w:r>
        <w:t xml:space="preserve">本案例库仅用于法律知识检索、普法培训与企业合规教学,不得作为诉讼、仲裁、监管应对或其他法律事务的依据;具体案件请以司法机关生效裁判、行政机关决定为准。</w:t>
      </w:r>
    </w:p>
    <w:p>
      <w:pPr>
        <w:numPr>
          <w:ilvl w:val="0"/>
          <w:numId w:val="1004"/>
        </w:numPr>
        <w:pStyle w:val="Compact"/>
      </w:pPr>
      <w:r>
        <w:t xml:space="preserve">法律法规可能修订或出台新解释,使用前请核对条文的最新有效文本。</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2026-08-08T04:22:50Z</dcterms:created>
  <dcterms:modified xsi:type="dcterms:W3CDTF">2026-08-08T04:22:50Z</dcterms:modified>
</cp:coreProperties>
</file>

<file path=docProps/custom.xml><?xml version="1.0" encoding="utf-8"?>
<Properties xmlns="http://schemas.openxmlformats.org/officeDocument/2006/custom-properties" xmlns:vt="http://schemas.openxmlformats.org/officeDocument/2006/docPropsVTypes"/>
</file>