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华创智联科技有限公司-数据脱敏管理办法"/>
    <w:p>
      <w:pPr>
        <w:pStyle w:val="Heading1"/>
      </w:pPr>
      <w:r>
        <w:t xml:space="preserve">华创智联科技有限公司 数据脱敏管理办法</w:t>
      </w:r>
    </w:p>
    <w:p>
      <w:pPr>
        <w:pStyle w:val="BlockText"/>
      </w:pPr>
      <w:r>
        <w:t xml:space="preserve">【演示用示例制度,非真实企业文件】</w:t>
      </w:r>
    </w:p>
    <w:p>
      <w:r>
        <w:pict>
          <v:rect style="width:0;height:1.5pt" o:hralign="center" o:hrstd="t" o:hr="t"/>
        </w:pict>
      </w:r>
    </w:p>
    <w:bookmarkStart w:id="20" w:name="文件头"/>
    <w:p>
      <w:pPr>
        <w:pStyle w:val="Heading2"/>
      </w:pPr>
      <w:r>
        <w:t xml:space="preserve">文件头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文件编号</w:t>
            </w:r>
          </w:p>
        </w:tc>
        <w:tc>
          <w:p>
            <w:pPr>
              <w:pStyle w:val="Compact"/>
              <w:jc w:val="left"/>
            </w:pPr>
            <w:r>
              <w:t xml:space="preserve">HZ-XX-TM-2026-005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生效日期</w:t>
            </w:r>
          </w:p>
        </w:tc>
        <w:tc>
          <w:p>
            <w:pPr>
              <w:pStyle w:val="Compact"/>
              <w:jc w:val="left"/>
            </w:pPr>
            <w:r>
              <w:t xml:space="preserve">2026年8月8日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编制部门</w:t>
            </w:r>
          </w:p>
        </w:tc>
        <w:tc>
          <w:p>
            <w:pPr>
              <w:pStyle w:val="Compact"/>
              <w:jc w:val="left"/>
            </w:pPr>
            <w:r>
              <w:t xml:space="preserve">信息技术部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适用范围</w:t>
            </w:r>
          </w:p>
        </w:tc>
        <w:tc>
          <w:p>
            <w:pPr>
              <w:pStyle w:val="Compact"/>
              <w:jc w:val="left"/>
            </w:pPr>
            <w:r>
              <w:t xml:space="preserve">公司全体员工及各职能部门,涉及数据开发、测试、演示、外包等相关人员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一目的"/>
    <w:p>
      <w:pPr>
        <w:pStyle w:val="Heading2"/>
      </w:pPr>
      <w:r>
        <w:t xml:space="preserve">一、目的</w:t>
      </w:r>
    </w:p>
    <w:p>
      <w:pPr>
        <w:pStyle w:val="FirstParagraph"/>
      </w:pPr>
      <w:r>
        <w:t xml:space="preserve">为规范公司数据脱敏的范围、方式与使用场景,防止客户个人信息与敏感数据在开发、测试、演示、外包等非生产环境中泄露,落实《个人信息保护法》合规要求,制定本办法。</w:t>
      </w:r>
    </w:p>
    <w:bookmarkEnd w:id="21"/>
    <w:bookmarkStart w:id="22" w:name="二编制依据"/>
    <w:p>
      <w:pPr>
        <w:pStyle w:val="Heading2"/>
      </w:pPr>
      <w:r>
        <w:t xml:space="preserve">二、编制依据</w:t>
      </w:r>
    </w:p>
    <w:p>
      <w:pPr>
        <w:numPr>
          <w:ilvl w:val="0"/>
          <w:numId w:val="1001"/>
        </w:numPr>
        <w:pStyle w:val="Compact"/>
      </w:pPr>
      <w:r>
        <w:t xml:space="preserve">《中华人民共和国个人信息保护法》;</w:t>
      </w:r>
    </w:p>
    <w:p>
      <w:pPr>
        <w:numPr>
          <w:ilvl w:val="0"/>
          <w:numId w:val="1001"/>
        </w:numPr>
        <w:pStyle w:val="Compact"/>
      </w:pPr>
      <w:r>
        <w:t xml:space="preserve">《中华人民共和国数据安全法》;</w:t>
      </w:r>
    </w:p>
    <w:p>
      <w:pPr>
        <w:numPr>
          <w:ilvl w:val="0"/>
          <w:numId w:val="1001"/>
        </w:numPr>
        <w:pStyle w:val="Compact"/>
      </w:pPr>
      <w:r>
        <w:t xml:space="preserve">《中华人民共和国网络安全法》;</w:t>
      </w:r>
    </w:p>
    <w:p>
      <w:pPr>
        <w:numPr>
          <w:ilvl w:val="0"/>
          <w:numId w:val="1001"/>
        </w:numPr>
        <w:pStyle w:val="Compact"/>
      </w:pPr>
      <w:r>
        <w:t xml:space="preserve">《华创智联科技有限公司数据访问管理制度》(HZ-XX-SJFH-2026-003);</w:t>
      </w:r>
    </w:p>
    <w:p>
      <w:pPr>
        <w:numPr>
          <w:ilvl w:val="0"/>
          <w:numId w:val="1001"/>
        </w:numPr>
        <w:pStyle w:val="Compact"/>
      </w:pPr>
      <w:r>
        <w:t xml:space="preserve">《华创智联科技有限公司用户信息保护规范》(HZ-XX-YH-2026-004)。</w:t>
      </w:r>
    </w:p>
    <w:bookmarkEnd w:id="22"/>
    <w:bookmarkStart w:id="23" w:name="三定义"/>
    <w:p>
      <w:pPr>
        <w:pStyle w:val="Heading2"/>
      </w:pPr>
      <w:r>
        <w:t xml:space="preserve">三、定义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数据脱敏</w:t>
      </w:r>
      <w:r>
        <w:t xml:space="preserve">:对敏感数据通过掩码、泛化、替换等方式进行处理,使处理后的数据无法直接识别特定个人,且不影响业务使用。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掩码</w:t>
      </w:r>
      <w:r>
        <w:t xml:space="preserve">:将字段的部分字符以符号(如*)替换,如手机号 138****1234。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泛化</w:t>
      </w:r>
      <w:r>
        <w:t xml:space="preserve">:将精确值替换为范围或类别,如将精确年龄替换为年龄段、精确地址替换为城市或区级。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替换</w:t>
      </w:r>
      <w:r>
        <w:t xml:space="preserve">:以虚构数据替换真实数据,保持字段格式与业务逻辑一致,如将真实姓名替换为随机姓名。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脱敏数据</w:t>
      </w:r>
      <w:r>
        <w:t xml:space="preserve">:经过脱敏处理、无法用于识别特定个人的数据。</w:t>
      </w:r>
    </w:p>
    <w:bookmarkEnd w:id="23"/>
    <w:bookmarkStart w:id="30" w:name="四制度正文"/>
    <w:p>
      <w:pPr>
        <w:pStyle w:val="Heading2"/>
      </w:pPr>
      <w:r>
        <w:t xml:space="preserve">四、制度正文</w:t>
      </w:r>
    </w:p>
    <w:bookmarkStart w:id="24" w:name="脱敏范围与字段"/>
    <w:p>
      <w:pPr>
        <w:pStyle w:val="Heading3"/>
      </w:pPr>
      <w:r>
        <w:t xml:space="preserve">4.1 脱敏范围与字段</w:t>
      </w:r>
    </w:p>
    <w:p>
      <w:pPr>
        <w:pStyle w:val="FirstParagraph"/>
      </w:pPr>
      <w:r>
        <w:t xml:space="preserve">以下</w:t>
      </w:r>
      <w:r>
        <w:rPr>
          <w:bCs/>
          <w:b/>
        </w:rPr>
        <w:t xml:space="preserve">敏感字段</w:t>
      </w:r>
      <w:r>
        <w:t xml:space="preserve">在非生产环境下使用前必须脱敏: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手机号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身份证号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银行卡号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住址</w:t>
      </w:r>
      <w:r>
        <w:t xml:space="preserve">(精确到门牌号或小区的详细地址);</w:t>
      </w:r>
    </w:p>
    <w:p>
      <w:pPr>
        <w:numPr>
          <w:ilvl w:val="0"/>
          <w:numId w:val="1003"/>
        </w:numPr>
        <w:pStyle w:val="Compact"/>
      </w:pPr>
      <w:r>
        <w:t xml:space="preserve">其他可识别特定个人的字段,包括:姓名、电子邮箱、IP 地址、健康信息、行踪轨迹、生物识别信息、用户账号等。</w:t>
      </w:r>
    </w:p>
    <w:bookmarkEnd w:id="24"/>
    <w:bookmarkStart w:id="25" w:name="脱敏方式"/>
    <w:p>
      <w:pPr>
        <w:pStyle w:val="Heading3"/>
      </w:pPr>
      <w:r>
        <w:t xml:space="preserve">4.2 脱敏方式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方式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掩码</w:t>
            </w:r>
          </w:p>
        </w:tc>
        <w:tc>
          <w:p>
            <w:pPr>
              <w:pStyle w:val="Compact"/>
              <w:jc w:val="left"/>
            </w:pPr>
            <w:r>
              <w:t xml:space="preserve">保留部分字符,其余以*替换</w:t>
            </w:r>
          </w:p>
        </w:tc>
        <w:tc>
          <w:p>
            <w:pPr>
              <w:pStyle w:val="Compact"/>
              <w:jc w:val="left"/>
            </w:pPr>
            <w:r>
              <w:t xml:space="preserve">手机号 138****1234;身份证 110***********1234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泛化</w:t>
            </w:r>
          </w:p>
        </w:tc>
        <w:tc>
          <w:p>
            <w:pPr>
              <w:pStyle w:val="Compact"/>
              <w:jc w:val="left"/>
            </w:pPr>
            <w:r>
              <w:t xml:space="preserve">精确值替换为范围或类别</w:t>
            </w:r>
          </w:p>
        </w:tc>
        <w:tc>
          <w:p>
            <w:pPr>
              <w:pStyle w:val="Compact"/>
              <w:jc w:val="left"/>
            </w:pPr>
            <w:r>
              <w:t xml:space="preserve">年龄 29 岁→20-30 岁;地址→所在城市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替换</w:t>
            </w:r>
          </w:p>
        </w:tc>
        <w:tc>
          <w:p>
            <w:pPr>
              <w:pStyle w:val="Compact"/>
              <w:jc w:val="left"/>
            </w:pPr>
            <w:r>
              <w:t xml:space="preserve">以保持格式的虚构数据替换</w:t>
            </w:r>
          </w:p>
        </w:tc>
        <w:tc>
          <w:p>
            <w:pPr>
              <w:pStyle w:val="Compact"/>
              <w:jc w:val="left"/>
            </w:pPr>
            <w:r>
              <w:t xml:space="preserve">姓名→随机姓名;邮箱→随机邮箱</w:t>
            </w:r>
          </w:p>
        </w:tc>
      </w:tr>
    </w:tbl>
    <w:p>
      <w:pPr>
        <w:pStyle w:val="BodyText"/>
      </w:pPr>
      <w:r>
        <w:t xml:space="preserve">脱敏要求:</w:t>
      </w:r>
    </w:p>
    <w:p>
      <w:pPr>
        <w:numPr>
          <w:ilvl w:val="0"/>
          <w:numId w:val="1004"/>
        </w:numPr>
        <w:pStyle w:val="Compact"/>
      </w:pPr>
      <w:r>
        <w:t xml:space="preserve">脱敏后数据应</w:t>
      </w:r>
      <w:r>
        <w:rPr>
          <w:bCs/>
          <w:b/>
        </w:rPr>
        <w:t xml:space="preserve">不可逆</w:t>
      </w:r>
      <w:r>
        <w:t xml:space="preserve">,无法通过脱敏数据还原出真实数据;</w:t>
      </w:r>
    </w:p>
    <w:p>
      <w:pPr>
        <w:numPr>
          <w:ilvl w:val="0"/>
          <w:numId w:val="1004"/>
        </w:numPr>
        <w:pStyle w:val="Compact"/>
      </w:pPr>
      <w:r>
        <w:t xml:space="preserve">脱敏后数据应保持原有格式与业务逻辑,保证测试、演示、开发可用;</w:t>
      </w:r>
    </w:p>
    <w:p>
      <w:pPr>
        <w:numPr>
          <w:ilvl w:val="0"/>
          <w:numId w:val="1004"/>
        </w:numPr>
        <w:pStyle w:val="Compact"/>
      </w:pPr>
      <w:r>
        <w:t xml:space="preserve">同一数据集内应保持脱敏一致性(如同一人的多次出现使用相同的替换值),必要时建立脱敏映射表并加密保管;</w:t>
      </w:r>
    </w:p>
    <w:p>
      <w:pPr>
        <w:numPr>
          <w:ilvl w:val="0"/>
          <w:numId w:val="1004"/>
        </w:numPr>
        <w:pStyle w:val="Compact"/>
      </w:pPr>
      <w:r>
        <w:t xml:space="preserve">生产环境与脱敏环境数据隔离,脱敏数据不得反向关联生产数据。</w:t>
      </w:r>
    </w:p>
    <w:bookmarkEnd w:id="25"/>
    <w:bookmarkStart w:id="26" w:name="脱敏适用场景"/>
    <w:p>
      <w:pPr>
        <w:pStyle w:val="Heading3"/>
      </w:pPr>
      <w:r>
        <w:t xml:space="preserve">4.3 脱敏适用场景</w:t>
      </w:r>
    </w:p>
    <w:p>
      <w:pPr>
        <w:pStyle w:val="FirstParagraph"/>
      </w:pPr>
      <w:r>
        <w:t xml:space="preserve">以下场景</w:t>
      </w:r>
      <w:r>
        <w:rPr>
          <w:bCs/>
          <w:b/>
        </w:rPr>
        <w:t xml:space="preserve">必须使用脱敏数据</w:t>
      </w:r>
      <w:r>
        <w:t xml:space="preserve">,禁止使用真实明文数据: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测试环境</w:t>
      </w:r>
      <w:r>
        <w:t xml:space="preserve">:系统开发、测试、联调、验收使用的数据;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演示场景</w:t>
      </w:r>
      <w:r>
        <w:t xml:space="preserve">:产品演示、对外展示、培训、会议演示使用的数据;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外包与第三方</w:t>
      </w:r>
      <w:r>
        <w:t xml:space="preserve">:交付给外包服务商、第三方开发或维护人员使用的数据;</w:t>
      </w:r>
    </w:p>
    <w:p>
      <w:pPr>
        <w:numPr>
          <w:ilvl w:val="0"/>
          <w:numId w:val="1005"/>
        </w:numPr>
        <w:pStyle w:val="Compact"/>
      </w:pPr>
      <w:r>
        <w:t xml:space="preserve">数据分析、建模(非必要使用明文时)及内部培训等场景。</w:t>
      </w:r>
    </w:p>
    <w:bookmarkEnd w:id="26"/>
    <w:bookmarkStart w:id="27" w:name="脱敏责任与流程"/>
    <w:p>
      <w:pPr>
        <w:pStyle w:val="Heading3"/>
      </w:pPr>
      <w:r>
        <w:t xml:space="preserve">4.4 脱敏责任与流程</w:t>
      </w:r>
    </w:p>
    <w:p>
      <w:pPr>
        <w:numPr>
          <w:ilvl w:val="0"/>
          <w:numId w:val="1006"/>
        </w:numPr>
        <w:pStyle w:val="Compact"/>
      </w:pPr>
      <w:r>
        <w:t xml:space="preserve">数据使用部门在申请非生产环境数据前,须填写《数据脱敏申请单》,注明用途、数据范围与脱敏方式;</w:t>
      </w:r>
    </w:p>
    <w:p>
      <w:pPr>
        <w:numPr>
          <w:ilvl w:val="0"/>
          <w:numId w:val="1006"/>
        </w:numPr>
        <w:pStyle w:val="Compact"/>
      </w:pPr>
      <w:r>
        <w:t xml:space="preserve">信息技术部负责实施脱敏,并对脱敏效果进行校验(抽查确认敏感字段已无法识别);</w:t>
      </w:r>
    </w:p>
    <w:p>
      <w:pPr>
        <w:numPr>
          <w:ilvl w:val="0"/>
          <w:numId w:val="1006"/>
        </w:numPr>
        <w:pStyle w:val="Compact"/>
      </w:pPr>
      <w:r>
        <w:t xml:space="preserve">脱敏实施过程留痕,记录脱敏规则、执行人、执行时间与校验结果;</w:t>
      </w:r>
    </w:p>
    <w:p>
      <w:pPr>
        <w:numPr>
          <w:ilvl w:val="0"/>
          <w:numId w:val="1006"/>
        </w:numPr>
        <w:pStyle w:val="Compact"/>
      </w:pPr>
      <w:r>
        <w:t xml:space="preserve">确需使用真实明文数据的(如生产验证、合规核查),须按机密级数据访问流程审批,并全程审计留痕;</w:t>
      </w:r>
    </w:p>
    <w:p>
      <w:pPr>
        <w:numPr>
          <w:ilvl w:val="0"/>
          <w:numId w:val="1006"/>
        </w:numPr>
        <w:pStyle w:val="Compact"/>
      </w:pPr>
      <w:r>
        <w:t xml:space="preserve">脱敏数据仍应按内部数据管理,不得公开传播。</w:t>
      </w:r>
    </w:p>
    <w:bookmarkEnd w:id="27"/>
    <w:bookmarkStart w:id="28" w:name="外包与第三方脱敏要求"/>
    <w:p>
      <w:pPr>
        <w:pStyle w:val="Heading3"/>
      </w:pPr>
      <w:r>
        <w:t xml:space="preserve">4.5 外包与第三方脱敏要求</w:t>
      </w:r>
    </w:p>
    <w:p>
      <w:pPr>
        <w:numPr>
          <w:ilvl w:val="0"/>
          <w:numId w:val="1007"/>
        </w:numPr>
        <w:pStyle w:val="Compact"/>
      </w:pPr>
      <w:r>
        <w:t xml:space="preserve">向外包、第三方提供数据的,须在合同中约定数据脱敏要求与保密义务;</w:t>
      </w:r>
    </w:p>
    <w:p>
      <w:pPr>
        <w:numPr>
          <w:ilvl w:val="0"/>
          <w:numId w:val="1007"/>
        </w:numPr>
        <w:pStyle w:val="Compact"/>
      </w:pPr>
      <w:r>
        <w:t xml:space="preserve">外包人员使用脱敏数据期间,公司保留审计与抽检权利;</w:t>
      </w:r>
    </w:p>
    <w:p>
      <w:pPr>
        <w:numPr>
          <w:ilvl w:val="0"/>
          <w:numId w:val="1007"/>
        </w:numPr>
        <w:pStyle w:val="Compact"/>
      </w:pPr>
      <w:r>
        <w:t xml:space="preserve">项目结束后,外包方应归还或销毁其持有的脱敏数据(含副本)。</w:t>
      </w:r>
    </w:p>
    <w:bookmarkEnd w:id="28"/>
    <w:bookmarkStart w:id="29" w:name="违规处理"/>
    <w:p>
      <w:pPr>
        <w:pStyle w:val="Heading3"/>
      </w:pPr>
      <w:r>
        <w:t xml:space="preserve">4.6 违规处理</w:t>
      </w:r>
    </w:p>
    <w:p>
      <w:pPr>
        <w:numPr>
          <w:ilvl w:val="0"/>
          <w:numId w:val="1008"/>
        </w:numPr>
        <w:pStyle w:val="Compact"/>
      </w:pPr>
      <w:r>
        <w:t xml:space="preserve">未脱敏即向测试、演示、外包场景提供真实敏感数据,或擅自将脱敏数据还原的,视情节给予警告、记过、解除劳动合同等处分;</w:t>
      </w:r>
    </w:p>
    <w:p>
      <w:pPr>
        <w:numPr>
          <w:ilvl w:val="0"/>
          <w:numId w:val="1008"/>
        </w:numPr>
        <w:pStyle w:val="Compact"/>
      </w:pPr>
      <w:r>
        <w:t xml:space="preserve">造成个人信息泄露、侵犯用户权益的,依《个人信息保护法》承担法律责任,涉嫌犯罪的移送司法机关;</w:t>
      </w:r>
    </w:p>
    <w:p>
      <w:pPr>
        <w:numPr>
          <w:ilvl w:val="0"/>
          <w:numId w:val="1008"/>
        </w:numPr>
        <w:pStyle w:val="Compact"/>
      </w:pPr>
      <w:r>
        <w:t xml:space="preserve">违规情形纳入绩效与档案,并抄送法务与风控部。</w:t>
      </w:r>
    </w:p>
    <w:bookmarkEnd w:id="29"/>
    <w:bookmarkEnd w:id="30"/>
    <w:bookmarkStart w:id="31" w:name="五流程"/>
    <w:p>
      <w:pPr>
        <w:pStyle w:val="Heading2"/>
      </w:pPr>
      <w:r>
        <w:t xml:space="preserve">五、流程</w:t>
      </w:r>
    </w:p>
    <w:p>
      <w:pPr>
        <w:pStyle w:val="SourceCode"/>
      </w:pPr>
      <w:r>
        <w:rPr>
          <w:rStyle w:val="VerbatimChar"/>
        </w:rPr>
        <w:t xml:space="preserve">数据需求申请 → 用途评估 → 填写《数据脱敏申请单》 → 信息技术部实施脱敏</w:t>
      </w:r>
      <w:r>
        <w:br/>
      </w:r>
      <w:r>
        <w:rPr>
          <w:rStyle w:val="VerbatimChar"/>
        </w:rPr>
        <w:t xml:space="preserve">→ 脱敏效果校验 → 交付使用 → 使用留痕 → 项目结束归还/销毁</w:t>
      </w:r>
    </w:p>
    <w:bookmarkEnd w:id="31"/>
    <w:bookmarkStart w:id="32" w:name="六责任与监督"/>
    <w:p>
      <w:pPr>
        <w:pStyle w:val="Heading2"/>
      </w:pPr>
      <w:r>
        <w:t xml:space="preserve">六、责任与监督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数据使用部门</w:t>
      </w:r>
      <w:r>
        <w:t xml:space="preserve">:对申请用途真实性与脱敏数据合理使用负责;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信息技术部</w:t>
      </w:r>
      <w:r>
        <w:t xml:space="preserve">:对脱敏实施、校验、映射表保管负责;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法务与风控部</w:t>
      </w:r>
      <w:r>
        <w:t xml:space="preserve">:对脱敏制度执行、外包合同条款与违规追责负责;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审计部</w:t>
      </w:r>
      <w:r>
        <w:t xml:space="preserve">:每季度抽查脱敏执行记录与校验结果,核查是否发生未脱敏使用真实数据的违规情形。</w:t>
      </w:r>
    </w:p>
    <w:bookmarkEnd w:id="32"/>
    <w:bookmarkStart w:id="33" w:name="七附则"/>
    <w:p>
      <w:pPr>
        <w:pStyle w:val="Heading2"/>
      </w:pPr>
      <w:r>
        <w:t xml:space="preserve">七、附则</w:t>
      </w:r>
    </w:p>
    <w:p>
      <w:pPr>
        <w:numPr>
          <w:ilvl w:val="0"/>
          <w:numId w:val="1010"/>
        </w:numPr>
        <w:pStyle w:val="Compact"/>
      </w:pPr>
      <w:r>
        <w:t xml:space="preserve">本办法由信息技术部负责解释和修订;</w:t>
      </w:r>
    </w:p>
    <w:p>
      <w:pPr>
        <w:numPr>
          <w:ilvl w:val="0"/>
          <w:numId w:val="1010"/>
        </w:numPr>
        <w:pStyle w:val="Compact"/>
      </w:pPr>
      <w:r>
        <w:t xml:space="preserve">本办法自生效之日起施行;</w:t>
      </w:r>
    </w:p>
    <w:p>
      <w:pPr>
        <w:numPr>
          <w:ilvl w:val="0"/>
          <w:numId w:val="1010"/>
        </w:numPr>
        <w:pStyle w:val="Compact"/>
      </w:pPr>
      <w:r>
        <w:t xml:space="preserve">本办法未尽事宜,按《个人信息保护法》《数据安全法》及公司其他制度执行。</w:t>
      </w:r>
    </w:p>
    <w:p>
      <w:r>
        <w:pict>
          <v:rect style="width:0;height:1.5pt" o:hralign="center" o:hrstd="t" o:hr="t"/>
        </w:pict>
      </w:r>
    </w:p>
    <w:bookmarkEnd w:id="33"/>
    <w:bookmarkStart w:id="34" w:name="常见问题速查"/>
    <w:p>
      <w:pPr>
        <w:pStyle w:val="Heading2"/>
      </w:pPr>
      <w:r>
        <w:t xml:space="preserve">常见问题速查</w:t>
      </w:r>
    </w:p>
    <w:p>
      <w:pPr>
        <w:pStyle w:val="FirstParagraph"/>
      </w:pPr>
      <w:r>
        <w:rPr>
          <w:bCs/>
          <w:b/>
        </w:rPr>
        <w:t xml:space="preserve">Q1:哪些字段必须脱敏?</w:t>
      </w:r>
      <w:r>
        <w:t xml:space="preserve"> </w:t>
      </w:r>
      <w:r>
        <w:t xml:space="preserve">A:手机号、身份证号、银行卡号、精确住址,以及其他可识别特定个人的姓名、邮箱、IP、健康信息等敏感字段。</w:t>
      </w:r>
    </w:p>
    <w:p>
      <w:pPr>
        <w:pStyle w:val="BodyText"/>
      </w:pPr>
      <w:r>
        <w:rPr>
          <w:bCs/>
          <w:b/>
        </w:rPr>
        <w:t xml:space="preserve">Q2:脱敏有哪几种方式?</w:t>
      </w:r>
      <w:r>
        <w:t xml:space="preserve"> </w:t>
      </w:r>
      <w:r>
        <w:t xml:space="preserve">A:掩码(如 138****1234)、泛化(精确值变范围)、替换(虚构数据保持格式),脱敏后不可逆且保持业务可用。</w:t>
      </w:r>
    </w:p>
    <w:p>
      <w:pPr>
        <w:pStyle w:val="BodyText"/>
      </w:pPr>
      <w:r>
        <w:rPr>
          <w:bCs/>
          <w:b/>
        </w:rPr>
        <w:t xml:space="preserve">Q3:测试环境能用真实用户数据吗?</w:t>
      </w:r>
      <w:r>
        <w:t xml:space="preserve"> </w:t>
      </w:r>
      <w:r>
        <w:t xml:space="preserve">A:不能。测试、演示、外包与第三方场景必须使用脱敏数据。</w:t>
      </w:r>
    </w:p>
    <w:p>
      <w:pPr>
        <w:pStyle w:val="BodyText"/>
      </w:pPr>
      <w:r>
        <w:rPr>
          <w:bCs/>
          <w:b/>
        </w:rPr>
        <w:t xml:space="preserve">Q4:谁负责实施脱敏?</w:t>
      </w:r>
      <w:r>
        <w:t xml:space="preserve"> </w:t>
      </w:r>
      <w:r>
        <w:t xml:space="preserve">A:信息技术部负责实施与校验,数据使用部门填写《数据脱敏申请单》说明用途。</w:t>
      </w:r>
    </w:p>
    <w:p>
      <w:pPr>
        <w:pStyle w:val="BodyText"/>
      </w:pPr>
      <w:r>
        <w:rPr>
          <w:bCs/>
          <w:b/>
        </w:rPr>
        <w:t xml:space="preserve">Q5:外包项目结束后脱敏数据怎么处理?</w:t>
      </w:r>
      <w:r>
        <w:t xml:space="preserve"> </w:t>
      </w:r>
      <w:r>
        <w:t xml:space="preserve">A:外包方应归还或销毁其持有的脱敏数据(含副本),公司保留审计与抽检权利。</w:t>
      </w:r>
    </w:p>
    <w:p>
      <w:pPr>
        <w:pStyle w:val="BodyText"/>
      </w:pPr>
      <w:r>
        <w:rPr>
          <w:bCs/>
          <w:b/>
        </w:rPr>
        <w:t xml:space="preserve">Q6:未脱敏就使用真实数据有什么后果?</w:t>
      </w:r>
      <w:r>
        <w:t xml:space="preserve"> </w:t>
      </w:r>
      <w:r>
        <w:t xml:space="preserve">A:属违规行为,视情节警告、记过直至解除劳动合同;造成泄露或侵犯权益的依《个人信息保护法》承担法律责任。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2026-08-08T04:22:45Z</dcterms:created>
  <dcterms:modified xsi:type="dcterms:W3CDTF">2026-08-08T04:22:45Z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