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数据访问管理制度"/>
    <w:p>
      <w:pPr>
        <w:pStyle w:val="Heading1"/>
      </w:pPr>
      <w:r>
        <w:t xml:space="preserve">华创智联科技有限公司 数据访问管理制度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HZ-XX-SJFH-2026-003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信息技术部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为规范公司数据的分级、访问授权与操作留痕管理,防止数据越权访问、违规下载与泄露,保障公司数据资产与客户个人信息安全,制定本制度。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《中华人民共和国数据安全法》;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《中华人民共和国个人信息保护法》;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《中华人民共和国网络安全法》;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《华创智联科技有限公司账号权限管理制度》(HZ-XX-ZH-2026-001);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《华创智联科技有限公司商业秘密保护规定》(HZ-ZS-SM-2026-003);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《华创智联科技有限公司数据脱敏管理办法》(HZ-XX-TM-2026-005)。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数据分级</w:t>
      </w:r>
      <w:r>
        <w:t xml:space="preserve">:按数据敏感程度将数据划分为公开、内部、机密三个级别。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机密级数据</w:t>
      </w:r>
      <w:r>
        <w:t xml:space="preserve">:商业秘密、客户个人信息、核心研发数据等,泄露可能对公司或相关主体造成重大损害。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最小授权</w:t>
      </w:r>
      <w:r>
        <w:t xml:space="preserve">:仅授予完成本职工作所必需的数据访问权限。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访问留痕</w:t>
      </w:r>
      <w:r>
        <w:t xml:space="preserve">:系统对数据访问、查询、导出等操作自动记录日志。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下载/导出</w:t>
      </w:r>
      <w:r>
        <w:t xml:space="preserve">:将系统内数据复制到本地、移动介质或外部系统的行为。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数据分级"/>
    <w:p>
      <w:pPr>
        <w:pStyle w:val="Heading3"/>
      </w:pPr>
      <w:r>
        <w:t xml:space="preserve">4.1 数据分级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p>
            <w:pPr>
              <w:pStyle w:val="Compact"/>
              <w:jc w:val="left"/>
            </w:pPr>
            <w:r>
              <w:t xml:space="preserve">典型示例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p>
            <w:pPr>
              <w:pStyle w:val="Compact"/>
              <w:jc w:val="left"/>
            </w:pPr>
            <w:r>
              <w:t xml:space="preserve">对外公开、无保密要求</w:t>
            </w:r>
          </w:p>
        </w:tc>
        <w:tc>
          <w:p>
            <w:pPr>
              <w:pStyle w:val="Compact"/>
              <w:jc w:val="left"/>
            </w:pPr>
            <w:r>
              <w:t xml:space="preserve">公司宣传资料、产品介绍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内部</w:t>
            </w:r>
          </w:p>
        </w:tc>
        <w:tc>
          <w:p>
            <w:pPr>
              <w:pStyle w:val="Compact"/>
              <w:jc w:val="left"/>
            </w:pPr>
            <w:r>
              <w:t xml:space="preserve">仅限公司内部使用</w:t>
            </w:r>
          </w:p>
        </w:tc>
        <w:tc>
          <w:p>
            <w:pPr>
              <w:pStyle w:val="Compact"/>
              <w:jc w:val="left"/>
            </w:pPr>
            <w:r>
              <w:t xml:space="preserve">内部制度、普通经营数据、部门报表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机密</w:t>
            </w:r>
          </w:p>
        </w:tc>
        <w:tc>
          <w:p>
            <w:pPr>
              <w:pStyle w:val="Compact"/>
              <w:jc w:val="left"/>
            </w:pPr>
            <w:r>
              <w:t xml:space="preserve">泄露会造成重大损害</w:t>
            </w:r>
          </w:p>
        </w:tc>
        <w:tc>
          <w:p>
            <w:pPr>
              <w:pStyle w:val="Compact"/>
              <w:jc w:val="left"/>
            </w:pPr>
            <w:r>
              <w:t xml:space="preserve">客户个人信息、商业秘密、源代码、财务敏感数据</w:t>
            </w:r>
          </w:p>
        </w:tc>
      </w:tr>
    </w:tbl>
    <w:p>
      <w:pPr>
        <w:pStyle w:val="BodyText"/>
      </w:pPr>
      <w:r>
        <w:rPr>
          <w:bCs/>
          <w:b/>
        </w:rPr>
        <w:t xml:space="preserve">客户个人信息一律属于机密级数据</w:t>
      </w:r>
      <w:r>
        <w:t xml:space="preserve">,包括客户姓名、手机号、身份证号、地址、银行账户等,按最高级别管理。</w:t>
      </w:r>
    </w:p>
    <w:bookmarkEnd w:id="24"/>
    <w:bookmarkStart w:id="25" w:name="访问授权流程"/>
    <w:p>
      <w:pPr>
        <w:pStyle w:val="Heading3"/>
      </w:pPr>
      <w:r>
        <w:t xml:space="preserve">4.2 访问授权流程</w:t>
      </w:r>
    </w:p>
    <w:p>
      <w:pPr>
        <w:numPr>
          <w:ilvl w:val="0"/>
          <w:numId w:val="1003"/>
        </w:numPr>
        <w:pStyle w:val="Compact"/>
      </w:pPr>
      <w:r>
        <w:t xml:space="preserve">员工访问数据须基于岗位需要,按最小授权原则申请;</w:t>
      </w:r>
    </w:p>
    <w:p>
      <w:pPr>
        <w:numPr>
          <w:ilvl w:val="0"/>
          <w:numId w:val="1003"/>
        </w:numPr>
        <w:pStyle w:val="Compact"/>
      </w:pPr>
      <w:r>
        <w:t xml:space="preserve">内部级数据访问:由部门负责人审批;</w:t>
      </w:r>
    </w:p>
    <w:p>
      <w:pPr>
        <w:numPr>
          <w:ilvl w:val="0"/>
          <w:numId w:val="1003"/>
        </w:numPr>
        <w:pStyle w:val="Compact"/>
      </w:pPr>
      <w:r>
        <w:t xml:space="preserve">机密级数据访问:由部门负责人初审、数据主管及法务与风控部审批,必要时报分管副总;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普通员工不得访问客户个人数据</w:t>
      </w:r>
      <w:r>
        <w:t xml:space="preserve">;确因工作(如客服、售后、合规核查)必须访问的,须按机密级流程最小授权,经审批后开通,并全程审计留痕;</w:t>
      </w:r>
    </w:p>
    <w:p>
      <w:pPr>
        <w:numPr>
          <w:ilvl w:val="0"/>
          <w:numId w:val="1003"/>
        </w:numPr>
        <w:pStyle w:val="Compact"/>
      </w:pPr>
      <w:r>
        <w:t xml:space="preserve">授权期限应与工作任务期限匹配,任务完成后由信息技术部回收权限。</w:t>
      </w:r>
    </w:p>
    <w:bookmarkEnd w:id="25"/>
    <w:bookmarkStart w:id="26" w:name="访问与操作要求"/>
    <w:p>
      <w:pPr>
        <w:pStyle w:val="Heading3"/>
      </w:pPr>
      <w:r>
        <w:t xml:space="preserve">4.3 访问与操作要求</w:t>
      </w:r>
    </w:p>
    <w:p>
      <w:pPr>
        <w:numPr>
          <w:ilvl w:val="0"/>
          <w:numId w:val="1004"/>
        </w:numPr>
        <w:pStyle w:val="Compact"/>
      </w:pPr>
      <w:r>
        <w:t xml:space="preserve">数据访问应在授权范围内进行,禁止越权查看、批量查询与无关数据浏览;</w:t>
      </w:r>
    </w:p>
    <w:p>
      <w:pPr>
        <w:numPr>
          <w:ilvl w:val="0"/>
          <w:numId w:val="1004"/>
        </w:numPr>
        <w:pStyle w:val="Compact"/>
      </w:pPr>
      <w:r>
        <w:t xml:space="preserve">查询客户个人信息应遵循最小必要,能使用脱敏数据的尽量使用脱敏数据;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下载/导出管控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下载、导出内部级数据:部门负责人审批;</w:t>
      </w:r>
    </w:p>
    <w:p>
      <w:pPr>
        <w:numPr>
          <w:ilvl w:val="1"/>
          <w:numId w:val="1005"/>
        </w:numPr>
        <w:pStyle w:val="Compact"/>
      </w:pPr>
      <w:r>
        <w:t xml:space="preserve">下载、导出机密级数据或客户个人信息:按机密级审批流程,注明用途、范围与处理方式,导出行为全程留痕;</w:t>
      </w:r>
    </w:p>
    <w:p>
      <w:pPr>
        <w:numPr>
          <w:ilvl w:val="1"/>
          <w:numId w:val="1005"/>
        </w:numPr>
        <w:pStyle w:val="Compact"/>
      </w:pPr>
      <w:r>
        <w:t xml:space="preserve">严禁向个人移动介质、个人云盘、外部邮箱导出机密数据。</w:t>
      </w:r>
    </w:p>
    <w:p>
      <w:pPr>
        <w:numPr>
          <w:ilvl w:val="0"/>
          <w:numId w:val="1004"/>
        </w:numPr>
        <w:pStyle w:val="Compact"/>
      </w:pPr>
      <w:r>
        <w:t xml:space="preserve">打印、复制涉密纸质数据,须经授权并登记。</w:t>
      </w:r>
    </w:p>
    <w:bookmarkEnd w:id="26"/>
    <w:bookmarkStart w:id="27" w:name="审计留痕"/>
    <w:p>
      <w:pPr>
        <w:pStyle w:val="Heading3"/>
      </w:pPr>
      <w:r>
        <w:t xml:space="preserve">4.4 审计留痕</w:t>
      </w:r>
    </w:p>
    <w:p>
      <w:pPr>
        <w:numPr>
          <w:ilvl w:val="0"/>
          <w:numId w:val="1006"/>
        </w:numPr>
        <w:pStyle w:val="Compact"/>
      </w:pPr>
      <w:r>
        <w:t xml:space="preserve">系统对机密级数据的访问、查询、导出、修改等操作自动记录日志,保留时间不少于 6 个月;</w:t>
      </w:r>
    </w:p>
    <w:p>
      <w:pPr>
        <w:numPr>
          <w:ilvl w:val="0"/>
          <w:numId w:val="1006"/>
        </w:numPr>
        <w:pStyle w:val="Compact"/>
      </w:pPr>
      <w:r>
        <w:t xml:space="preserve">信息技术部每月对机密级数据访问日志进行抽查,异常访问(非工作时间、非授权范围、批量导出等)须立即核查并报告;</w:t>
      </w:r>
    </w:p>
    <w:p>
      <w:pPr>
        <w:numPr>
          <w:ilvl w:val="0"/>
          <w:numId w:val="1006"/>
        </w:numPr>
        <w:pStyle w:val="Compact"/>
      </w:pPr>
      <w:r>
        <w:t xml:space="preserve">审计日志不得由被审计人员自行修改或删除。</w:t>
      </w:r>
    </w:p>
    <w:bookmarkEnd w:id="27"/>
    <w:bookmarkStart w:id="28" w:name="第三方与外包访问"/>
    <w:p>
      <w:pPr>
        <w:pStyle w:val="Heading3"/>
      </w:pPr>
      <w:r>
        <w:t xml:space="preserve">4.5 第三方与外包访问</w:t>
      </w:r>
    </w:p>
    <w:p>
      <w:pPr>
        <w:numPr>
          <w:ilvl w:val="0"/>
          <w:numId w:val="1007"/>
        </w:numPr>
        <w:pStyle w:val="Compact"/>
      </w:pPr>
      <w:r>
        <w:t xml:space="preserve">第三方或外包人员需访问数据的,须签订保密协议,按最小授权开通账号;</w:t>
      </w:r>
    </w:p>
    <w:p>
      <w:pPr>
        <w:numPr>
          <w:ilvl w:val="0"/>
          <w:numId w:val="1007"/>
        </w:numPr>
        <w:pStyle w:val="Compact"/>
      </w:pPr>
      <w:r>
        <w:t xml:space="preserve">涉及客户个人信息的,不得提供明文数据,须先按《数据脱敏管理办法》脱敏;</w:t>
      </w:r>
    </w:p>
    <w:p>
      <w:pPr>
        <w:numPr>
          <w:ilvl w:val="0"/>
          <w:numId w:val="1007"/>
        </w:numPr>
        <w:pStyle w:val="Compact"/>
      </w:pPr>
      <w:r>
        <w:t xml:space="preserve">外包项目结束后,即时回收账号与权限,并核查数据是否已归还或销毁。</w:t>
      </w:r>
    </w:p>
    <w:bookmarkEnd w:id="28"/>
    <w:bookmarkStart w:id="29" w:name="违规处理"/>
    <w:p>
      <w:pPr>
        <w:pStyle w:val="Heading3"/>
      </w:pPr>
      <w:r>
        <w:t xml:space="preserve">4.6 违规处理</w:t>
      </w:r>
    </w:p>
    <w:p>
      <w:pPr>
        <w:numPr>
          <w:ilvl w:val="0"/>
          <w:numId w:val="1008"/>
        </w:numPr>
        <w:pStyle w:val="Compact"/>
      </w:pPr>
      <w:r>
        <w:t xml:space="preserve">越权访问、未经审批下载/导出、滥用客户个人信息等违规行为,视情节给予警告、记过、解除劳动合同等处分;</w:t>
      </w:r>
    </w:p>
    <w:p>
      <w:pPr>
        <w:numPr>
          <w:ilvl w:val="0"/>
          <w:numId w:val="1008"/>
        </w:numPr>
        <w:pStyle w:val="Compact"/>
      </w:pPr>
      <w:r>
        <w:t xml:space="preserve">造成数据泄露、侵犯个人信息权益的,依《个人信息保护法》《数据安全法》承担法律责任,涉嫌犯罪的移送司法机关;</w:t>
      </w:r>
    </w:p>
    <w:p>
      <w:pPr>
        <w:numPr>
          <w:ilvl w:val="0"/>
          <w:numId w:val="1008"/>
        </w:numPr>
        <w:pStyle w:val="Compact"/>
      </w:pPr>
      <w:r>
        <w:t xml:space="preserve">违规处理结果纳入员工绩效与档案。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数据分级定级 → 岗位需求评估 → 权限申请(内部/机密分级审批) → 开通与最小授权</w:t>
      </w:r>
      <w:r>
        <w:br/>
      </w:r>
      <w:r>
        <w:rPr>
          <w:rStyle w:val="VerbatimChar"/>
        </w:rPr>
        <w:t xml:space="preserve">→ 访问/下载留痕 → 月度日志抽查 → 任务完成回收权限 → 违规处理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数据主管</w:t>
      </w:r>
      <w:r>
        <w:t xml:space="preserve">:对本部门数据分级与访问申请的初审负责;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信息技术部</w:t>
      </w:r>
      <w:r>
        <w:t xml:space="preserve">:对权限配置、审计日志、月度抽查负责;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法务与风控部</w:t>
      </w:r>
      <w:r>
        <w:t xml:space="preserve">:对机密级访问审批与违规追责负责;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审计部</w:t>
      </w:r>
      <w:r>
        <w:t xml:space="preserve">:每季度对数据访问日志与权限台账进行专项审计;</w:t>
      </w:r>
    </w:p>
    <w:p>
      <w:pPr>
        <w:numPr>
          <w:ilvl w:val="0"/>
          <w:numId w:val="1009"/>
        </w:numPr>
        <w:pStyle w:val="Compact"/>
      </w:pPr>
      <w:r>
        <w:t xml:space="preserve">各部门负责人对本部门员工数据访问行为负监督管理责任。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0"/>
        </w:numPr>
        <w:pStyle w:val="Compact"/>
      </w:pPr>
      <w:r>
        <w:t xml:space="preserve">本制度由信息技术部负责解释和修订;</w:t>
      </w:r>
    </w:p>
    <w:p>
      <w:pPr>
        <w:numPr>
          <w:ilvl w:val="0"/>
          <w:numId w:val="1010"/>
        </w:numPr>
        <w:pStyle w:val="Compact"/>
      </w:pPr>
      <w:r>
        <w:t xml:space="preserve">本制度自生效之日起施行;</w:t>
      </w:r>
    </w:p>
    <w:p>
      <w:pPr>
        <w:numPr>
          <w:ilvl w:val="0"/>
          <w:numId w:val="1010"/>
        </w:numPr>
        <w:pStyle w:val="Compact"/>
      </w:pPr>
      <w:r>
        <w:t xml:space="preserve">本制度未尽事宜,按《数据安全法》《个人信息保护法》及公司其他制度执行。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Q1:公司数据分几个级别?</w:t>
      </w:r>
      <w:r>
        <w:t xml:space="preserve"> </w:t>
      </w:r>
      <w:r>
        <w:t xml:space="preserve">A:公开、内部、机密三级;客户个人信息一律属机密级。</w:t>
      </w:r>
    </w:p>
    <w:p>
      <w:pPr>
        <w:pStyle w:val="BodyText"/>
      </w:pPr>
      <w:r>
        <w:rPr>
          <w:bCs/>
          <w:b/>
        </w:rPr>
        <w:t xml:space="preserve">Q2:普通员工可以访问客户个人数据吗?</w:t>
      </w:r>
      <w:r>
        <w:t xml:space="preserve"> </w:t>
      </w:r>
      <w:r>
        <w:t xml:space="preserve">A:不能。确需访问须最小授权+审批+审计留痕,任务完成后及时回收权限。</w:t>
      </w:r>
    </w:p>
    <w:p>
      <w:pPr>
        <w:pStyle w:val="BodyText"/>
      </w:pPr>
      <w:r>
        <w:rPr>
          <w:bCs/>
          <w:b/>
        </w:rPr>
        <w:t xml:space="preserve">Q3:导出机密数据需要什么手续?</w:t>
      </w:r>
      <w:r>
        <w:t xml:space="preserve"> </w:t>
      </w:r>
      <w:r>
        <w:t xml:space="preserve">A:按机密级审批流程,注明用途、范围与处理方式,导出全程留痕;严禁导出到个人介质、云盘或外部邮箱。</w:t>
      </w:r>
    </w:p>
    <w:p>
      <w:pPr>
        <w:pStyle w:val="BodyText"/>
      </w:pPr>
      <w:r>
        <w:rPr>
          <w:bCs/>
          <w:b/>
        </w:rPr>
        <w:t xml:space="preserve">Q4:数据访问日志保留多久?</w:t>
      </w:r>
      <w:r>
        <w:t xml:space="preserve"> </w:t>
      </w:r>
      <w:r>
        <w:t xml:space="preserve">A:机密级数据访问日志保留不少于 6 个月,由信息技术部每月抽查。</w:t>
      </w:r>
    </w:p>
    <w:p>
      <w:pPr>
        <w:pStyle w:val="BodyText"/>
      </w:pPr>
      <w:r>
        <w:rPr>
          <w:bCs/>
          <w:b/>
        </w:rPr>
        <w:t xml:space="preserve">Q5:给外包人员提供客户数据有什么要求?</w:t>
      </w:r>
      <w:r>
        <w:t xml:space="preserve"> </w:t>
      </w:r>
      <w:r>
        <w:t xml:space="preserve">A:签保密协议、最小授权、必须先脱敏,项目结束后即时回收权限并核查数据。</w:t>
      </w:r>
    </w:p>
    <w:p>
      <w:pPr>
        <w:pStyle w:val="BodyText"/>
      </w:pPr>
      <w:r>
        <w:rPr>
          <w:bCs/>
          <w:b/>
        </w:rPr>
        <w:t xml:space="preserve">Q6:违规访问数据有什么后果?</w:t>
      </w:r>
      <w:r>
        <w:t xml:space="preserve"> </w:t>
      </w:r>
      <w:r>
        <w:t xml:space="preserve">A:视情节警告、记过直至解除劳动合同;造成泄露或侵犯个人信息权益的承担法律责任,涉嫌犯罪移送司法机关。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2026-08-08T04:22:45Z</dcterms:created>
  <dcterms:modified xsi:type="dcterms:W3CDTF">2026-08-08T04:22:45Z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