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华创智联科技有限公司-用户信息保护规范"/>
    <w:p>
      <w:pPr>
        <w:pStyle w:val="Heading1"/>
      </w:pPr>
      <w:r>
        <w:t xml:space="preserve">华创智联科技有限公司 用户信息保护规范</w:t>
      </w:r>
    </w:p>
    <w:p>
      <w:pPr>
        <w:pStyle w:val="BlockText"/>
      </w:pPr>
      <w:r>
        <w:t xml:space="preserve">【演示用示例制度,非真实企业文件】</w:t>
      </w:r>
    </w:p>
    <w:p>
      <w:r>
        <w:pict>
          <v:rect style="width:0;height:1.5pt" o:hralign="center" o:hrstd="t" o:hr="t"/>
        </w:pict>
      </w:r>
    </w:p>
    <w:bookmarkStart w:id="20" w:name="文件头"/>
    <w:p>
      <w:pPr>
        <w:pStyle w:val="Heading2"/>
      </w:pPr>
      <w:r>
        <w:t xml:space="preserve">文件头</w:t>
      </w:r>
    </w:p>
    <w:tbl>
      <w:tblPr>
        <w:tblStyle w:val="Table"/>
        <w:tblW w:type="pct" w:w="0.0"/>
        <w:tblLook w:firstRow="1" w:lastRow="0" w:firstColumn="0" w:lastColumn="0" w:noHBand="0" w:noVBand="0" w:val="0020"/>
      </w:tblPr>
      <w:tblGrid/>
      <w:tr>
        <w:tc>
          <w:p>
            <w:pPr>
              <w:pStyle w:val="Compact"/>
              <w:jc w:val="left"/>
            </w:pPr>
            <w:r>
              <w:t xml:space="preserve">项目</w:t>
            </w:r>
          </w:p>
        </w:tc>
        <w:tc>
          <w:p>
            <w:pPr>
              <w:pStyle w:val="Compact"/>
              <w:jc w:val="left"/>
            </w:pPr>
            <w:r>
              <w:t xml:space="preserve">内容</w:t>
            </w:r>
          </w:p>
        </w:tc>
      </w:tr>
      <w:tr>
        <w:tc>
          <w:p>
            <w:pPr>
              <w:pStyle w:val="Compact"/>
              <w:jc w:val="left"/>
            </w:pPr>
            <w:r>
              <w:t xml:space="preserve">文件编号</w:t>
            </w:r>
          </w:p>
        </w:tc>
        <w:tc>
          <w:p>
            <w:pPr>
              <w:pStyle w:val="Compact"/>
              <w:jc w:val="left"/>
            </w:pPr>
            <w:r>
              <w:t xml:space="preserve">HZ-XX-YH-2026-004</w:t>
            </w:r>
          </w:p>
        </w:tc>
      </w:tr>
      <w:tr>
        <w:tc>
          <w:p>
            <w:pPr>
              <w:pStyle w:val="Compact"/>
              <w:jc w:val="left"/>
            </w:pPr>
            <w:r>
              <w:t xml:space="preserve">版本</w:t>
            </w:r>
          </w:p>
        </w:tc>
        <w:tc>
          <w:p>
            <w:pPr>
              <w:pStyle w:val="Compact"/>
              <w:jc w:val="left"/>
            </w:pPr>
            <w:r>
              <w:t xml:space="preserve">V1.0</w:t>
            </w:r>
          </w:p>
        </w:tc>
      </w:tr>
      <w:tr>
        <w:tc>
          <w:p>
            <w:pPr>
              <w:pStyle w:val="Compact"/>
              <w:jc w:val="left"/>
            </w:pPr>
            <w:r>
              <w:t xml:space="preserve">生效日期</w:t>
            </w:r>
          </w:p>
        </w:tc>
        <w:tc>
          <w:p>
            <w:pPr>
              <w:pStyle w:val="Compact"/>
              <w:jc w:val="left"/>
            </w:pPr>
            <w:r>
              <w:t xml:space="preserve">2026年8月8日</w:t>
            </w:r>
          </w:p>
        </w:tc>
      </w:tr>
      <w:tr>
        <w:tc>
          <w:p>
            <w:pPr>
              <w:pStyle w:val="Compact"/>
              <w:jc w:val="left"/>
            </w:pPr>
            <w:r>
              <w:t xml:space="preserve">编制部门</w:t>
            </w:r>
          </w:p>
        </w:tc>
        <w:tc>
          <w:p>
            <w:pPr>
              <w:pStyle w:val="Compact"/>
              <w:jc w:val="left"/>
            </w:pPr>
            <w:r>
              <w:t xml:space="preserve">法务与风控部</w:t>
            </w:r>
          </w:p>
        </w:tc>
      </w:tr>
      <w:tr>
        <w:tc>
          <w:p>
            <w:pPr>
              <w:pStyle w:val="Compact"/>
              <w:jc w:val="left"/>
            </w:pPr>
            <w:r>
              <w:t xml:space="preserve">适用范围</w:t>
            </w:r>
          </w:p>
        </w:tc>
        <w:tc>
          <w:p>
            <w:pPr>
              <w:pStyle w:val="Compact"/>
              <w:jc w:val="left"/>
            </w:pPr>
            <w:r>
              <w:t xml:space="preserve">公司全体员工及各职能部门,涉及用户/客户个人信息处理的相关人员</w:t>
            </w:r>
          </w:p>
        </w:tc>
      </w:tr>
    </w:tbl>
    <w:p>
      <w:r>
        <w:pict>
          <v:rect style="width:0;height:1.5pt" o:hralign="center" o:hrstd="t" o:hr="t"/>
        </w:pict>
      </w:r>
    </w:p>
    <w:bookmarkEnd w:id="20"/>
    <w:bookmarkStart w:id="21" w:name="一目的"/>
    <w:p>
      <w:pPr>
        <w:pStyle w:val="Heading2"/>
      </w:pPr>
      <w:r>
        <w:t xml:space="preserve">一、目的</w:t>
      </w:r>
    </w:p>
    <w:p>
      <w:pPr>
        <w:pStyle w:val="FirstParagraph"/>
      </w:pPr>
      <w:r>
        <w:t xml:space="preserve">为规范公司对用户个人信息的收集、使用、存储、传输、共享与删除等处理活动,落实《个人信息保护法》合规要求,保障用户个人信息权益,防范个人信息泄露与违法处理风险,制定本规范。</w:t>
      </w:r>
    </w:p>
    <w:bookmarkEnd w:id="21"/>
    <w:bookmarkStart w:id="22" w:name="二编制依据"/>
    <w:p>
      <w:pPr>
        <w:pStyle w:val="Heading2"/>
      </w:pPr>
      <w:r>
        <w:t xml:space="preserve">二、编制依据</w:t>
      </w:r>
    </w:p>
    <w:p>
      <w:pPr>
        <w:numPr>
          <w:ilvl w:val="0"/>
          <w:numId w:val="1001"/>
        </w:numPr>
        <w:pStyle w:val="Compact"/>
      </w:pPr>
      <w:r>
        <w:t xml:space="preserve">《中华人民共和国个人信息保护法》;</w:t>
      </w:r>
    </w:p>
    <w:p>
      <w:pPr>
        <w:numPr>
          <w:ilvl w:val="0"/>
          <w:numId w:val="1001"/>
        </w:numPr>
        <w:pStyle w:val="Compact"/>
      </w:pPr>
      <w:r>
        <w:t xml:space="preserve">《中华人民共和国数据安全法》;</w:t>
      </w:r>
    </w:p>
    <w:p>
      <w:pPr>
        <w:numPr>
          <w:ilvl w:val="0"/>
          <w:numId w:val="1001"/>
        </w:numPr>
        <w:pStyle w:val="Compact"/>
      </w:pPr>
      <w:r>
        <w:t xml:space="preserve">《中华人民共和国网络安全法》;</w:t>
      </w:r>
    </w:p>
    <w:p>
      <w:pPr>
        <w:numPr>
          <w:ilvl w:val="0"/>
          <w:numId w:val="1001"/>
        </w:numPr>
        <w:pStyle w:val="Compact"/>
      </w:pPr>
      <w:r>
        <w:t xml:space="preserve">《中华人民共和国民法典》(人格权编关于个人信息的规定);</w:t>
      </w:r>
    </w:p>
    <w:p>
      <w:pPr>
        <w:numPr>
          <w:ilvl w:val="0"/>
          <w:numId w:val="1001"/>
        </w:numPr>
        <w:pStyle w:val="Compact"/>
      </w:pPr>
      <w:r>
        <w:t xml:space="preserve">《华创智联科技有限公司数据访问管理制度》(HZ-XX-SJFH-2026-003);</w:t>
      </w:r>
    </w:p>
    <w:p>
      <w:pPr>
        <w:numPr>
          <w:ilvl w:val="0"/>
          <w:numId w:val="1001"/>
        </w:numPr>
        <w:pStyle w:val="Compact"/>
      </w:pPr>
      <w:r>
        <w:t xml:space="preserve">《华创智联科技有限公司数据脱敏管理办法》(HZ-XX-TM-2026-005)。</w:t>
      </w:r>
    </w:p>
    <w:bookmarkEnd w:id="22"/>
    <w:bookmarkStart w:id="23" w:name="三定义"/>
    <w:p>
      <w:pPr>
        <w:pStyle w:val="Heading2"/>
      </w:pPr>
      <w:r>
        <w:t xml:space="preserve">三、定义</w:t>
      </w:r>
    </w:p>
    <w:p>
      <w:pPr>
        <w:numPr>
          <w:ilvl w:val="0"/>
          <w:numId w:val="1002"/>
        </w:numPr>
        <w:pStyle w:val="Compact"/>
      </w:pPr>
      <w:r>
        <w:rPr>
          <w:bCs/>
          <w:b/>
        </w:rPr>
        <w:t xml:space="preserve">个人信息</w:t>
      </w:r>
      <w:r>
        <w:t xml:space="preserve">:以电子或其他方式记录的与已识别或可识别的自然人有关的各种信息,如姓名、手机号、身份证号、住址、行踪等。</w:t>
      </w:r>
    </w:p>
    <w:p>
      <w:pPr>
        <w:numPr>
          <w:ilvl w:val="0"/>
          <w:numId w:val="1002"/>
        </w:numPr>
        <w:pStyle w:val="Compact"/>
      </w:pPr>
      <w:r>
        <w:rPr>
          <w:bCs/>
          <w:b/>
        </w:rPr>
        <w:t xml:space="preserve">敏感个人信息</w:t>
      </w:r>
      <w:r>
        <w:t xml:space="preserve">:一旦泄露或非法使用容易导致自然人的人格尊严或人身、财产安全受到危害的个人信息,如生物识别信息、宗教信仰、特定身份、医疗健康、金融账户、行踪轨迹以及不满十四周岁未成年人的个人信息。</w:t>
      </w:r>
    </w:p>
    <w:p>
      <w:pPr>
        <w:numPr>
          <w:ilvl w:val="0"/>
          <w:numId w:val="1002"/>
        </w:numPr>
        <w:pStyle w:val="Compact"/>
      </w:pPr>
      <w:r>
        <w:rPr>
          <w:bCs/>
          <w:b/>
        </w:rPr>
        <w:t xml:space="preserve">个人信息处理者</w:t>
      </w:r>
      <w:r>
        <w:t xml:space="preserve">:在个人信息处理活动中自主决定处理目的、处理方式的组织、个人。公司为用户个人信息处理者。</w:t>
      </w:r>
    </w:p>
    <w:p>
      <w:pPr>
        <w:numPr>
          <w:ilvl w:val="0"/>
          <w:numId w:val="1002"/>
        </w:numPr>
        <w:pStyle w:val="Compact"/>
      </w:pPr>
      <w:r>
        <w:rPr>
          <w:bCs/>
          <w:b/>
        </w:rPr>
        <w:t xml:space="preserve">最小必要</w:t>
      </w:r>
      <w:r>
        <w:t xml:space="preserve">:处理个人信息应当具有明确、合理的目的,并限于实现处理目的的最小范围。</w:t>
      </w:r>
    </w:p>
    <w:p>
      <w:pPr>
        <w:numPr>
          <w:ilvl w:val="0"/>
          <w:numId w:val="1002"/>
        </w:numPr>
        <w:pStyle w:val="Compact"/>
      </w:pPr>
      <w:r>
        <w:rPr>
          <w:bCs/>
          <w:b/>
        </w:rPr>
        <w:t xml:space="preserve">告知同意</w:t>
      </w:r>
      <w:r>
        <w:t xml:space="preserve">:处理个人信息前,应当以显著方式、清晰易懂的语言真实、准确、完整地告知信息处理规则并取得同意。</w:t>
      </w:r>
    </w:p>
    <w:bookmarkEnd w:id="23"/>
    <w:bookmarkStart w:id="31" w:name="四制度正文"/>
    <w:p>
      <w:pPr>
        <w:pStyle w:val="Heading2"/>
      </w:pPr>
      <w:r>
        <w:t xml:space="preserve">四、制度正文</w:t>
      </w:r>
    </w:p>
    <w:bookmarkStart w:id="24" w:name="收集最小必要"/>
    <w:p>
      <w:pPr>
        <w:pStyle w:val="Heading3"/>
      </w:pPr>
      <w:r>
        <w:t xml:space="preserve">4.1 收集最小必要</w:t>
      </w:r>
    </w:p>
    <w:p>
      <w:pPr>
        <w:numPr>
          <w:ilvl w:val="0"/>
          <w:numId w:val="1003"/>
        </w:numPr>
        <w:pStyle w:val="Compact"/>
      </w:pPr>
      <w:r>
        <w:t xml:space="preserve">公司收集个人信息应当限于实现业务目的所必需的最小范围,不得过度收集;</w:t>
      </w:r>
    </w:p>
    <w:p>
      <w:pPr>
        <w:numPr>
          <w:ilvl w:val="0"/>
          <w:numId w:val="1003"/>
        </w:numPr>
        <w:pStyle w:val="Compact"/>
      </w:pPr>
      <w:r>
        <w:t xml:space="preserve">收集前须评估处理目的与必要范围,填写《个人信息处理影响评估表》;</w:t>
      </w:r>
    </w:p>
    <w:p>
      <w:pPr>
        <w:numPr>
          <w:ilvl w:val="0"/>
          <w:numId w:val="1003"/>
        </w:numPr>
        <w:pStyle w:val="Compact"/>
      </w:pPr>
      <w:r>
        <w:t xml:space="preserve">不得以拒绝提供服务为由强制收集与业务无关的个人信息;</w:t>
      </w:r>
    </w:p>
    <w:p>
      <w:pPr>
        <w:numPr>
          <w:ilvl w:val="0"/>
          <w:numId w:val="1003"/>
        </w:numPr>
        <w:pStyle w:val="Compact"/>
      </w:pPr>
      <w:r>
        <w:t xml:space="preserve">收集未成年个人信息的,依法取得监护人同意,并适用最严格保护。</w:t>
      </w:r>
    </w:p>
    <w:bookmarkEnd w:id="24"/>
    <w:bookmarkStart w:id="25" w:name="告知同意"/>
    <w:p>
      <w:pPr>
        <w:pStyle w:val="Heading3"/>
      </w:pPr>
      <w:r>
        <w:t xml:space="preserve">4.2 告知同意</w:t>
      </w:r>
    </w:p>
    <w:p>
      <w:pPr>
        <w:numPr>
          <w:ilvl w:val="0"/>
          <w:numId w:val="1004"/>
        </w:numPr>
        <w:pStyle w:val="Compact"/>
      </w:pPr>
      <w:r>
        <w:t xml:space="preserve">收集个人信息前,应通过隐私政策、用户协议、弹窗提示等方式</w:t>
      </w:r>
      <w:r>
        <w:rPr>
          <w:bCs/>
          <w:b/>
        </w:rPr>
        <w:t xml:space="preserve">告知</w:t>
      </w:r>
      <w:r>
        <w:t xml:space="preserve">处理者身份、处理目的、处理方式、信息种类、保存期限、用户权利及投诉渠道;</w:t>
      </w:r>
    </w:p>
    <w:p>
      <w:pPr>
        <w:numPr>
          <w:ilvl w:val="0"/>
          <w:numId w:val="1004"/>
        </w:numPr>
        <w:pStyle w:val="Compact"/>
      </w:pPr>
      <w:r>
        <w:t xml:space="preserve">取得用户的</w:t>
      </w:r>
      <w:r>
        <w:rPr>
          <w:bCs/>
          <w:b/>
        </w:rPr>
        <w:t xml:space="preserve">知情同意</w:t>
      </w:r>
      <w:r>
        <w:t xml:space="preserve">,同意应当自愿、明确、具体;</w:t>
      </w:r>
    </w:p>
    <w:p>
      <w:pPr>
        <w:numPr>
          <w:ilvl w:val="0"/>
          <w:numId w:val="1004"/>
        </w:numPr>
        <w:pStyle w:val="Compact"/>
      </w:pPr>
      <w:r>
        <w:t xml:space="preserve">处理目的、方式或信息种类发生变化的,应重新取得同意;</w:t>
      </w:r>
    </w:p>
    <w:p>
      <w:pPr>
        <w:numPr>
          <w:ilvl w:val="0"/>
          <w:numId w:val="1004"/>
        </w:numPr>
        <w:pStyle w:val="Compact"/>
      </w:pPr>
      <w:r>
        <w:t xml:space="preserve">处理敏感个人信息的,应取得用户</w:t>
      </w:r>
      <w:r>
        <w:rPr>
          <w:bCs/>
          <w:b/>
        </w:rPr>
        <w:t xml:space="preserve">单独同意</w:t>
      </w:r>
      <w:r>
        <w:t xml:space="preserve">,并告知必要性及对用户的影响。</w:t>
      </w:r>
    </w:p>
    <w:bookmarkEnd w:id="25"/>
    <w:bookmarkStart w:id="26" w:name="敏感信息特别保护"/>
    <w:p>
      <w:pPr>
        <w:pStyle w:val="Heading3"/>
      </w:pPr>
      <w:r>
        <w:t xml:space="preserve">4.3 敏感信息特别保护</w:t>
      </w:r>
    </w:p>
    <w:p>
      <w:pPr>
        <w:numPr>
          <w:ilvl w:val="0"/>
          <w:numId w:val="1005"/>
        </w:numPr>
        <w:pStyle w:val="Compact"/>
      </w:pPr>
      <w:r>
        <w:t xml:space="preserve">身份证号、手机号、银行卡号、精确住址、健康信息、生物识别信息等敏感个人信息,须经单独同意后方可处理;</w:t>
      </w:r>
    </w:p>
    <w:p>
      <w:pPr>
        <w:numPr>
          <w:ilvl w:val="0"/>
          <w:numId w:val="1005"/>
        </w:numPr>
        <w:pStyle w:val="Compact"/>
      </w:pPr>
      <w:r>
        <w:t xml:space="preserve">敏感个人信息在业务办理完成后应尽量及时删除或脱敏;</w:t>
      </w:r>
    </w:p>
    <w:p>
      <w:pPr>
        <w:numPr>
          <w:ilvl w:val="0"/>
          <w:numId w:val="1005"/>
        </w:numPr>
        <w:pStyle w:val="Compact"/>
      </w:pPr>
      <w:r>
        <w:t xml:space="preserve">处理敏感个人信息的场景、目的、期限应单独记录备查。</w:t>
      </w:r>
    </w:p>
    <w:bookmarkEnd w:id="26"/>
    <w:bookmarkStart w:id="27" w:name="存储与安全措施"/>
    <w:p>
      <w:pPr>
        <w:pStyle w:val="Heading3"/>
      </w:pPr>
      <w:r>
        <w:t xml:space="preserve">4.4 存储与安全措施</w:t>
      </w:r>
    </w:p>
    <w:p>
      <w:pPr>
        <w:numPr>
          <w:ilvl w:val="0"/>
          <w:numId w:val="1006"/>
        </w:numPr>
        <w:pStyle w:val="Compact"/>
      </w:pPr>
      <w:r>
        <w:t xml:space="preserve">个人信息应存储于公司符合安全等级要求的服务器与数据库,采取加密、访问控制、防泄漏等技术措施;</w:t>
      </w:r>
    </w:p>
    <w:p>
      <w:pPr>
        <w:numPr>
          <w:ilvl w:val="0"/>
          <w:numId w:val="1006"/>
        </w:numPr>
        <w:pStyle w:val="Compact"/>
      </w:pPr>
      <w:r>
        <w:rPr>
          <w:bCs/>
          <w:b/>
        </w:rPr>
        <w:t xml:space="preserve">个人信息一律属机密级数据</w:t>
      </w:r>
      <w:r>
        <w:t xml:space="preserve">,访问须最小授权+审批+审计留痕,普通员工不得访问;</w:t>
      </w:r>
    </w:p>
    <w:p>
      <w:pPr>
        <w:numPr>
          <w:ilvl w:val="0"/>
          <w:numId w:val="1006"/>
        </w:numPr>
        <w:pStyle w:val="Compact"/>
      </w:pPr>
      <w:r>
        <w:t xml:space="preserve">个人信息保存期限为实现目的所必需的最短时间;期限届满或目的实现后,依法删除或匿名化;</w:t>
      </w:r>
    </w:p>
    <w:p>
      <w:pPr>
        <w:numPr>
          <w:ilvl w:val="0"/>
          <w:numId w:val="1006"/>
        </w:numPr>
        <w:pStyle w:val="Compact"/>
      </w:pPr>
      <w:r>
        <w:t xml:space="preserve">向第三方提供、委托处理、共享个人信息的,须签订协议明确处理目的、期限、方式与保护义务,并进行影响评估,同时依法向用户告知并取得同意(如需)。</w:t>
      </w:r>
    </w:p>
    <w:bookmarkEnd w:id="27"/>
    <w:bookmarkStart w:id="28" w:name="员工行为规范"/>
    <w:p>
      <w:pPr>
        <w:pStyle w:val="Heading3"/>
      </w:pPr>
      <w:r>
        <w:t xml:space="preserve">4.5 员工行为规范</w:t>
      </w:r>
    </w:p>
    <w:p>
      <w:pPr>
        <w:numPr>
          <w:ilvl w:val="0"/>
          <w:numId w:val="1007"/>
        </w:numPr>
        <w:pStyle w:val="Compact"/>
      </w:pPr>
      <w:r>
        <w:t xml:space="preserve">员工仅可在授权范围内处理与工作相关的个人信息,</w:t>
      </w:r>
      <w:r>
        <w:rPr>
          <w:bCs/>
          <w:b/>
        </w:rPr>
        <w:t xml:space="preserve">不得私自复制、下载、外发用户个人信息</w:t>
      </w:r>
      <w:r>
        <w:t xml:space="preserve">;</w:t>
      </w:r>
    </w:p>
    <w:p>
      <w:pPr>
        <w:numPr>
          <w:ilvl w:val="0"/>
          <w:numId w:val="1007"/>
        </w:numPr>
        <w:pStyle w:val="Compact"/>
      </w:pPr>
      <w:r>
        <w:t xml:space="preserve">禁止将个人信息用于与工作无关的个人用途,禁止将个人信息提供给亲友、自媒体或第三方;</w:t>
      </w:r>
    </w:p>
    <w:p>
      <w:pPr>
        <w:numPr>
          <w:ilvl w:val="0"/>
          <w:numId w:val="1007"/>
        </w:numPr>
        <w:pStyle w:val="Compact"/>
      </w:pPr>
      <w:r>
        <w:t xml:space="preserve">测试、演示、外包等场景需要使用个人信息的,一律使用</w:t>
      </w:r>
      <w:r>
        <w:rPr>
          <w:bCs/>
          <w:b/>
        </w:rPr>
        <w:t xml:space="preserve">脱敏数据</w:t>
      </w:r>
      <w:r>
        <w:t xml:space="preserve">,不得使用真实个人信息明文;</w:t>
      </w:r>
    </w:p>
    <w:p>
      <w:pPr>
        <w:numPr>
          <w:ilvl w:val="0"/>
          <w:numId w:val="1007"/>
        </w:numPr>
        <w:pStyle w:val="Compact"/>
      </w:pPr>
      <w:r>
        <w:t xml:space="preserve">员工发现个人信息泄露或疑似泄露的,须立即报告部门负责人及法务与风控部。</w:t>
      </w:r>
    </w:p>
    <w:bookmarkEnd w:id="28"/>
    <w:bookmarkStart w:id="29" w:name="用户权利保障"/>
    <w:p>
      <w:pPr>
        <w:pStyle w:val="Heading3"/>
      </w:pPr>
      <w:r>
        <w:t xml:space="preserve">4.6 用户权利保障</w:t>
      </w:r>
    </w:p>
    <w:p>
      <w:pPr>
        <w:numPr>
          <w:ilvl w:val="0"/>
          <w:numId w:val="1008"/>
        </w:numPr>
        <w:pStyle w:val="Compact"/>
      </w:pPr>
      <w:r>
        <w:t xml:space="preserve">公司应为用户提供查阅、复制、更正、删除其个人信息,以及撤回同意、注销账户、投诉举报等渠道;</w:t>
      </w:r>
    </w:p>
    <w:p>
      <w:pPr>
        <w:numPr>
          <w:ilvl w:val="0"/>
          <w:numId w:val="1008"/>
        </w:numPr>
        <w:pStyle w:val="Compact"/>
      </w:pPr>
      <w:r>
        <w:t xml:space="preserve">受理用户权利请求后,应在 15 个工作日内予以处理并答复;</w:t>
      </w:r>
    </w:p>
    <w:p>
      <w:pPr>
        <w:numPr>
          <w:ilvl w:val="0"/>
          <w:numId w:val="1008"/>
        </w:numPr>
        <w:pStyle w:val="Compact"/>
      </w:pPr>
      <w:r>
        <w:t xml:space="preserve">个人信息处理规则(隐私政策)更新时,应通过适当方式告知用户。</w:t>
      </w:r>
    </w:p>
    <w:bookmarkEnd w:id="29"/>
    <w:bookmarkStart w:id="30" w:name="违规追责"/>
    <w:p>
      <w:pPr>
        <w:pStyle w:val="Heading3"/>
      </w:pPr>
      <w:r>
        <w:t xml:space="preserve">4.7 违规追责</w:t>
      </w:r>
    </w:p>
    <w:p>
      <w:pPr>
        <w:numPr>
          <w:ilvl w:val="0"/>
          <w:numId w:val="1009"/>
        </w:numPr>
        <w:pStyle w:val="Compact"/>
      </w:pPr>
      <w:r>
        <w:t xml:space="preserve">违反本规范收集、使用、泄露用户个人信息的,视情节给予警告、记过、解除劳动合同等处分;</w:t>
      </w:r>
    </w:p>
    <w:p>
      <w:pPr>
        <w:numPr>
          <w:ilvl w:val="0"/>
          <w:numId w:val="1009"/>
        </w:numPr>
        <w:pStyle w:val="Compact"/>
      </w:pPr>
      <w:r>
        <w:t xml:space="preserve">造成用户个人信息权益损害的,公司依法承担赔偿责任,并有权向有过错员工追偿;</w:t>
      </w:r>
    </w:p>
    <w:p>
      <w:pPr>
        <w:numPr>
          <w:ilvl w:val="0"/>
          <w:numId w:val="1009"/>
        </w:numPr>
        <w:pStyle w:val="Compact"/>
      </w:pPr>
      <w:r>
        <w:t xml:space="preserve">违反《个人信息保护法》规定的,依法承担行政责任;涉嫌犯罪的移送司法机关。</w:t>
      </w:r>
    </w:p>
    <w:bookmarkEnd w:id="30"/>
    <w:bookmarkEnd w:id="31"/>
    <w:bookmarkStart w:id="32" w:name="五流程"/>
    <w:p>
      <w:pPr>
        <w:pStyle w:val="Heading2"/>
      </w:pPr>
      <w:r>
        <w:t xml:space="preserve">五、流程</w:t>
      </w:r>
    </w:p>
    <w:p>
      <w:pPr>
        <w:pStyle w:val="SourceCode"/>
      </w:pPr>
      <w:r>
        <w:rPr>
          <w:rStyle w:val="VerbatimChar"/>
        </w:rPr>
        <w:t xml:space="preserve">业务目的评估 → 影响评估 → 告知同意(敏感信息单独同意) → 最小必要收集 → 加密存储</w:t>
      </w:r>
      <w:r>
        <w:br/>
      </w:r>
      <w:r>
        <w:rPr>
          <w:rStyle w:val="VerbatimChar"/>
        </w:rPr>
        <w:t xml:space="preserve">→ 授权访问与留痕 → 脱敏用于测试/演示/外包 → 期限届满删除/匿名化 → 用户权利响应</w:t>
      </w:r>
    </w:p>
    <w:bookmarkEnd w:id="32"/>
    <w:bookmarkStart w:id="33" w:name="六责任与监督"/>
    <w:p>
      <w:pPr>
        <w:pStyle w:val="Heading2"/>
      </w:pPr>
      <w:r>
        <w:t xml:space="preserve">六、责任与监督</w:t>
      </w:r>
    </w:p>
    <w:p>
      <w:pPr>
        <w:numPr>
          <w:ilvl w:val="0"/>
          <w:numId w:val="1010"/>
        </w:numPr>
        <w:pStyle w:val="Compact"/>
      </w:pPr>
      <w:r>
        <w:rPr>
          <w:bCs/>
          <w:b/>
        </w:rPr>
        <w:t xml:space="preserve">各业务部门</w:t>
      </w:r>
      <w:r>
        <w:t xml:space="preserve">:对个人信息收集的必要性、合规告知与使用负责;</w:t>
      </w:r>
    </w:p>
    <w:p>
      <w:pPr>
        <w:numPr>
          <w:ilvl w:val="0"/>
          <w:numId w:val="1010"/>
        </w:numPr>
        <w:pStyle w:val="Compact"/>
      </w:pPr>
      <w:r>
        <w:rPr>
          <w:bCs/>
          <w:b/>
        </w:rPr>
        <w:t xml:space="preserve">法务与风控部</w:t>
      </w:r>
      <w:r>
        <w:t xml:space="preserve">:对隐私政策、影响评估、违规追责与合规咨询负责;</w:t>
      </w:r>
    </w:p>
    <w:p>
      <w:pPr>
        <w:numPr>
          <w:ilvl w:val="0"/>
          <w:numId w:val="1010"/>
        </w:numPr>
        <w:pStyle w:val="Compact"/>
      </w:pPr>
      <w:r>
        <w:rPr>
          <w:bCs/>
          <w:b/>
        </w:rPr>
        <w:t xml:space="preserve">信息技术部</w:t>
      </w:r>
      <w:r>
        <w:t xml:space="preserve">:对加密、权限、留痕与安全技术措施负责;</w:t>
      </w:r>
    </w:p>
    <w:p>
      <w:pPr>
        <w:numPr>
          <w:ilvl w:val="0"/>
          <w:numId w:val="1010"/>
        </w:numPr>
        <w:pStyle w:val="Compact"/>
      </w:pPr>
      <w:r>
        <w:rPr>
          <w:bCs/>
          <w:b/>
        </w:rPr>
        <w:t xml:space="preserve">审计部</w:t>
      </w:r>
      <w:r>
        <w:t xml:space="preserve">:每季度对个人信息处理活动与访问日志进行合规审计;</w:t>
      </w:r>
    </w:p>
    <w:p>
      <w:pPr>
        <w:numPr>
          <w:ilvl w:val="0"/>
          <w:numId w:val="1010"/>
        </w:numPr>
        <w:pStyle w:val="Compact"/>
      </w:pPr>
      <w:r>
        <w:t xml:space="preserve">涉及个人信息的项目上线前,须经法务与风控部合规评审。</w:t>
      </w:r>
    </w:p>
    <w:bookmarkEnd w:id="33"/>
    <w:bookmarkStart w:id="34" w:name="七附则"/>
    <w:p>
      <w:pPr>
        <w:pStyle w:val="Heading2"/>
      </w:pPr>
      <w:r>
        <w:t xml:space="preserve">七、附则</w:t>
      </w:r>
    </w:p>
    <w:p>
      <w:pPr>
        <w:numPr>
          <w:ilvl w:val="0"/>
          <w:numId w:val="1011"/>
        </w:numPr>
        <w:pStyle w:val="Compact"/>
      </w:pPr>
      <w:r>
        <w:t xml:space="preserve">本规范由法务与风控部负责解释和修订;</w:t>
      </w:r>
    </w:p>
    <w:p>
      <w:pPr>
        <w:numPr>
          <w:ilvl w:val="0"/>
          <w:numId w:val="1011"/>
        </w:numPr>
        <w:pStyle w:val="Compact"/>
      </w:pPr>
      <w:r>
        <w:t xml:space="preserve">本规范自生效之日起施行;</w:t>
      </w:r>
    </w:p>
    <w:p>
      <w:pPr>
        <w:numPr>
          <w:ilvl w:val="0"/>
          <w:numId w:val="1011"/>
        </w:numPr>
        <w:pStyle w:val="Compact"/>
      </w:pPr>
      <w:r>
        <w:t xml:space="preserve">本规范未尽事宜,按《个人信息保护法》及国家有关规定执行。</w:t>
      </w:r>
    </w:p>
    <w:p>
      <w:r>
        <w:pict>
          <v:rect style="width:0;height:1.5pt" o:hralign="center" o:hrstd="t" o:hr="t"/>
        </w:pict>
      </w:r>
    </w:p>
    <w:bookmarkEnd w:id="34"/>
    <w:bookmarkStart w:id="35" w:name="常见问题速查"/>
    <w:p>
      <w:pPr>
        <w:pStyle w:val="Heading2"/>
      </w:pPr>
      <w:r>
        <w:t xml:space="preserve">常见问题速查</w:t>
      </w:r>
    </w:p>
    <w:p>
      <w:pPr>
        <w:pStyle w:val="FirstParagraph"/>
      </w:pPr>
      <w:r>
        <w:rPr>
          <w:bCs/>
          <w:b/>
        </w:rPr>
        <w:t xml:space="preserve">Q1:收集用户信息应当遵循什么原则?</w:t>
      </w:r>
      <w:r>
        <w:t xml:space="preserve"> </w:t>
      </w:r>
      <w:r>
        <w:t xml:space="preserve">A:最小必要原则,仅收集实现业务目的所必需的最小范围,并事先告知取得同意。</w:t>
      </w:r>
    </w:p>
    <w:p>
      <w:pPr>
        <w:pStyle w:val="BodyText"/>
      </w:pPr>
      <w:r>
        <w:rPr>
          <w:bCs/>
          <w:b/>
        </w:rPr>
        <w:t xml:space="preserve">Q2:处理敏感个人信息需要什么条件?</w:t>
      </w:r>
      <w:r>
        <w:t xml:space="preserve"> </w:t>
      </w:r>
      <w:r>
        <w:t xml:space="preserve">A:须取得用户单独同意,告知必要性及影响,并采取更严格保护措施,尽量及时删除或脱敏。</w:t>
      </w:r>
    </w:p>
    <w:p>
      <w:pPr>
        <w:pStyle w:val="BodyText"/>
      </w:pPr>
      <w:r>
        <w:rPr>
          <w:bCs/>
          <w:b/>
        </w:rPr>
        <w:t xml:space="preserve">Q3:测试或演示能使用真实用户信息吗?</w:t>
      </w:r>
      <w:r>
        <w:t xml:space="preserve"> </w:t>
      </w:r>
      <w:r>
        <w:t xml:space="preserve">A:不能。测试、演示、外包等场景必须使用脱敏数据。</w:t>
      </w:r>
    </w:p>
    <w:p>
      <w:pPr>
        <w:pStyle w:val="BodyText"/>
      </w:pPr>
      <w:r>
        <w:rPr>
          <w:bCs/>
          <w:b/>
        </w:rPr>
        <w:t xml:space="preserve">Q4:员工可以私自复制、外发用户信息吗?</w:t>
      </w:r>
      <w:r>
        <w:t xml:space="preserve"> </w:t>
      </w:r>
      <w:r>
        <w:t xml:space="preserve">A:严禁。员工仅可在授权范围内处理信息,私自复制、下载、外发属违规行为。</w:t>
      </w:r>
    </w:p>
    <w:p>
      <w:pPr>
        <w:pStyle w:val="BodyText"/>
      </w:pPr>
      <w:r>
        <w:rPr>
          <w:bCs/>
          <w:b/>
        </w:rPr>
        <w:t xml:space="preserve">Q5:用户要求删除其个人信息,公司要多久处理?</w:t>
      </w:r>
      <w:r>
        <w:t xml:space="preserve"> </w:t>
      </w:r>
      <w:r>
        <w:t xml:space="preserve">A:应在 15 个工作日内处理并答复;保存期限届满或目的实现后依法删除或匿名化。</w:t>
      </w:r>
    </w:p>
    <w:p>
      <w:pPr>
        <w:pStyle w:val="BodyText"/>
      </w:pPr>
      <w:r>
        <w:rPr>
          <w:bCs/>
          <w:b/>
        </w:rPr>
        <w:t xml:space="preserve">Q6:违反本规范有什么后果?</w:t>
      </w:r>
      <w:r>
        <w:t xml:space="preserve"> </w:t>
      </w:r>
      <w:r>
        <w:t xml:space="preserve">A:视情节警告、记过直至解除劳动合同,公司可向过错员工追偿;违反《个人信息保护法》的依法承担行政责任,涉嫌犯罪移送司法机关。</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2026-08-08T04:22:45Z</dcterms:created>
  <dcterms:modified xsi:type="dcterms:W3CDTF">2026-08-08T04:22:45Z</dcterms:modified>
</cp:coreProperties>
</file>

<file path=docProps/custom.xml><?xml version="1.0" encoding="utf-8"?>
<Properties xmlns="http://schemas.openxmlformats.org/officeDocument/2006/custom-properties" xmlns:vt="http://schemas.openxmlformats.org/officeDocument/2006/docPropsVTypes"/>
</file>