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法人授权管理办法"/>
    <w:p>
      <w:pPr>
        <w:pStyle w:val="Heading1"/>
      </w:pPr>
      <w:r>
        <w:t xml:space="preserve">华创智联科技有限公司 法人授权管理办法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HZ-ZL-SQ-2026-002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法务与风控部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为规范公司对外行为的授权管理,明确法定代表人授权的范围、形式、期限与责任,防止越权代理、无权代理给公司造成损失,保障公司交易安全,制定本办法。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《中华人民共和国民法典》(合同编、总则编关于代理的规定);</w:t>
      </w:r>
    </w:p>
    <w:p>
      <w:pPr>
        <w:numPr>
          <w:ilvl w:val="0"/>
          <w:numId w:val="1001"/>
        </w:numPr>
        <w:pStyle w:val="Compact"/>
      </w:pPr>
      <w:r>
        <w:t xml:space="preserve">《中华人民共和国公司法》;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《华创智联科技有限公司合同审批流程》(HZ-HT-SP-2026-002);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《华创智联科技有限公司公司印章管理制度》(HZ-ZL-SY-2026-001)。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法定代表人</w:t>
      </w:r>
      <w:r>
        <w:t xml:space="preserve">:依照公司章程规定担任法定代表人职务的负责人,依法代表公司行使职权。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一般授权</w:t>
      </w:r>
      <w:r>
        <w:t xml:space="preserve">:指在某一事项或某一期间内,授权被授权人在一定范围内代表公司处理日常事务的授权,如办理工商登记、银行开户、参加一般业务洽谈等。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特别授权</w:t>
      </w:r>
      <w:r>
        <w:t xml:space="preserve">:指就特定事项一次性授予被授权人特定权限的授权,如对外签署特定合同、处理特定诉讼、处置特定资产等。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被授权人</w:t>
      </w:r>
      <w:r>
        <w:t xml:space="preserve">:经公司法定代表人或授权机构书面授权,在授权范围内代表公司开展特定行为的人员。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越权代理</w:t>
      </w:r>
      <w:r>
        <w:t xml:space="preserve">:被授权人超出授权范围、授权期限或授权形式实施的行为。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授权方式与形式"/>
    <w:p>
      <w:pPr>
        <w:pStyle w:val="Heading3"/>
      </w:pPr>
      <w:r>
        <w:t xml:space="preserve">4.1 授权方式与形式</w:t>
      </w:r>
    </w:p>
    <w:p>
      <w:pPr>
        <w:numPr>
          <w:ilvl w:val="0"/>
          <w:numId w:val="1003"/>
        </w:numPr>
        <w:pStyle w:val="Compact"/>
      </w:pPr>
      <w:r>
        <w:t xml:space="preserve">公司对外授权一律采用</w:t>
      </w:r>
      <w:r>
        <w:rPr>
          <w:bCs/>
          <w:b/>
        </w:rPr>
        <w:t xml:space="preserve">书面形式</w:t>
      </w:r>
      <w:r>
        <w:t xml:space="preserve">,出具《授权委托书》或《法定代表人授权书》;</w:t>
      </w:r>
    </w:p>
    <w:p>
      <w:pPr>
        <w:numPr>
          <w:ilvl w:val="0"/>
          <w:numId w:val="1003"/>
        </w:numPr>
        <w:pStyle w:val="Compact"/>
      </w:pPr>
      <w:r>
        <w:t xml:space="preserve">授权书应载明:被授权人姓名及身份证件信息、授权事项、授权范围、授权期限、特别限制条件、签发日期及授权人签章;</w:t>
      </w:r>
    </w:p>
    <w:p>
      <w:pPr>
        <w:numPr>
          <w:ilvl w:val="0"/>
          <w:numId w:val="1003"/>
        </w:numPr>
        <w:pStyle w:val="Compact"/>
      </w:pPr>
      <w:r>
        <w:t xml:space="preserve">无书面授权的,任何人不得以公司名义对外签署文件、签订合同或作出承诺;口头授权无效;</w:t>
      </w:r>
    </w:p>
    <w:p>
      <w:pPr>
        <w:numPr>
          <w:ilvl w:val="0"/>
          <w:numId w:val="1003"/>
        </w:numPr>
        <w:pStyle w:val="Compact"/>
      </w:pPr>
      <w:r>
        <w:t xml:space="preserve">授权书一式三份,被授权人、授权部门、法务与风控部各存一份并登记台账。</w:t>
      </w:r>
    </w:p>
    <w:bookmarkEnd w:id="24"/>
    <w:bookmarkStart w:id="25" w:name="授权级别"/>
    <w:p>
      <w:pPr>
        <w:pStyle w:val="Heading3"/>
      </w:pPr>
      <w:r>
        <w:t xml:space="preserve">4.2 授权级别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授权级别</w:t>
            </w:r>
          </w:p>
        </w:tc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权限边界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一般授权</w:t>
            </w:r>
          </w:p>
        </w:tc>
        <w:tc>
          <w:p>
            <w:pPr>
              <w:pStyle w:val="Compact"/>
              <w:jc w:val="left"/>
            </w:pPr>
            <w:r>
              <w:t xml:space="preserve">日常事务性事项(工商、税务、银行、资质申报等)</w:t>
            </w:r>
          </w:p>
        </w:tc>
        <w:tc>
          <w:p>
            <w:pPr>
              <w:pStyle w:val="Compact"/>
              <w:jc w:val="left"/>
            </w:pPr>
            <w:r>
              <w:t xml:space="preserve">不得签署合同、不得处分公司资产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特别授权</w:t>
            </w:r>
          </w:p>
        </w:tc>
        <w:tc>
          <w:p>
            <w:pPr>
              <w:pStyle w:val="Compact"/>
              <w:jc w:val="left"/>
            </w:pPr>
            <w:r>
              <w:t xml:space="preserve">特定合同、特定诉讼、特定资产处置等事项</w:t>
            </w:r>
          </w:p>
        </w:tc>
        <w:tc>
          <w:p>
            <w:pPr>
              <w:pStyle w:val="Compact"/>
              <w:jc w:val="left"/>
            </w:pPr>
            <w:r>
              <w:t xml:space="preserve">限于授权书中列明的事项与限额</w:t>
            </w:r>
          </w:p>
        </w:tc>
      </w:tr>
    </w:tbl>
    <w:p>
      <w:pPr>
        <w:pStyle w:val="BodyText"/>
      </w:pPr>
      <w:r>
        <w:t xml:space="preserve">特别授权中涉及对外签订合同的,授权金额限额与公司合同分级审批权限保持一致:单项 5 万元以下的由部门负责人权限办理;5 万元(含)至 20 万元的重要合同须经分管副总审核授权;20 万元(含)以上的重大合同须经总经理/总经理办公会(或董事会)批准授权。</w:t>
      </w:r>
    </w:p>
    <w:bookmarkEnd w:id="25"/>
    <w:bookmarkStart w:id="26" w:name="授权期限"/>
    <w:p>
      <w:pPr>
        <w:pStyle w:val="Heading3"/>
      </w:pPr>
      <w:r>
        <w:t xml:space="preserve">4.3 授权期限</w:t>
      </w:r>
    </w:p>
    <w:p>
      <w:pPr>
        <w:numPr>
          <w:ilvl w:val="0"/>
          <w:numId w:val="1004"/>
        </w:numPr>
        <w:pStyle w:val="Compact"/>
      </w:pPr>
      <w:r>
        <w:t xml:space="preserve">授权期限应明确具体,一般授权期限不超过 1 年,特别授权期限以事项完成所需时间为准且不超过该事项存续期;</w:t>
      </w:r>
    </w:p>
    <w:p>
      <w:pPr>
        <w:numPr>
          <w:ilvl w:val="0"/>
          <w:numId w:val="1004"/>
        </w:numPr>
        <w:pStyle w:val="Compact"/>
      </w:pPr>
      <w:r>
        <w:t xml:space="preserve">授权期限届满、授权事项完成或被授权人调离/离职的,授权自动终止;</w:t>
      </w:r>
    </w:p>
    <w:p>
      <w:pPr>
        <w:numPr>
          <w:ilvl w:val="0"/>
          <w:numId w:val="1004"/>
        </w:numPr>
        <w:pStyle w:val="Compact"/>
      </w:pPr>
      <w:r>
        <w:t xml:space="preserve">授权期限届满后需继续授权的,应重新办理授权手续。</w:t>
      </w:r>
    </w:p>
    <w:bookmarkEnd w:id="26"/>
    <w:bookmarkStart w:id="27" w:name="授权变更与撤销"/>
    <w:p>
      <w:pPr>
        <w:pStyle w:val="Heading3"/>
      </w:pPr>
      <w:r>
        <w:t xml:space="preserve">4.4 授权变更与撤销</w:t>
      </w:r>
    </w:p>
    <w:p>
      <w:pPr>
        <w:numPr>
          <w:ilvl w:val="0"/>
          <w:numId w:val="1005"/>
        </w:numPr>
        <w:pStyle w:val="Compact"/>
      </w:pPr>
      <w:r>
        <w:t xml:space="preserve">因情形变化需要变更授权范围或金额的,应重新出具授权书并收回原授权书;</w:t>
      </w:r>
    </w:p>
    <w:p>
      <w:pPr>
        <w:numPr>
          <w:ilvl w:val="0"/>
          <w:numId w:val="1005"/>
        </w:numPr>
        <w:pStyle w:val="Compact"/>
      </w:pPr>
      <w:r>
        <w:t xml:space="preserve">公司有权随时撤销授权;撤销授权须书面通知被授权人及利害关系相对方,并登记撤销记录;</w:t>
      </w:r>
    </w:p>
    <w:p>
      <w:pPr>
        <w:numPr>
          <w:ilvl w:val="0"/>
          <w:numId w:val="1005"/>
        </w:numPr>
        <w:pStyle w:val="Compact"/>
      </w:pPr>
      <w:r>
        <w:t xml:space="preserve">被授权人不得将授权转委托他人(授权书另有载明的除外)。</w:t>
      </w:r>
    </w:p>
    <w:bookmarkEnd w:id="27"/>
    <w:bookmarkStart w:id="28" w:name="被授权人越权责任"/>
    <w:p>
      <w:pPr>
        <w:pStyle w:val="Heading3"/>
      </w:pPr>
      <w:r>
        <w:t xml:space="preserve">4.5 被授权人越权责任</w:t>
      </w:r>
    </w:p>
    <w:p>
      <w:pPr>
        <w:numPr>
          <w:ilvl w:val="0"/>
          <w:numId w:val="1006"/>
        </w:numPr>
        <w:pStyle w:val="Compact"/>
      </w:pPr>
      <w:r>
        <w:t xml:space="preserve">被授权人必须在授权范围内以公司名义实施行为,</w:t>
      </w:r>
      <w:r>
        <w:rPr>
          <w:bCs/>
          <w:b/>
        </w:rPr>
        <w:t xml:space="preserve">越权代理对公司不发生效力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越权行为造成公司损失的,由被授权人承担赔偿责任,并依据公司制度给予处分;</w:t>
      </w:r>
    </w:p>
    <w:p>
      <w:pPr>
        <w:numPr>
          <w:ilvl w:val="0"/>
          <w:numId w:val="1006"/>
        </w:numPr>
        <w:pStyle w:val="Compact"/>
      </w:pPr>
      <w:r>
        <w:t xml:space="preserve">被授权人在授权期内滥用授权、谋取私利的,公司有权立即撤销授权并追究其法律责任;构成犯罪的,移送司法机关;</w:t>
      </w:r>
    </w:p>
    <w:p>
      <w:pPr>
        <w:numPr>
          <w:ilvl w:val="0"/>
          <w:numId w:val="1006"/>
        </w:numPr>
        <w:pStyle w:val="Compact"/>
      </w:pPr>
      <w:r>
        <w:t xml:space="preserve">相对方知道或应当知道被授权人超越授权仍与其签约的,相对方应对越权签约的后果负责,公司有权主张合同无效或不予追认。</w:t>
      </w:r>
    </w:p>
    <w:bookmarkEnd w:id="28"/>
    <w:bookmarkStart w:id="29" w:name="授权台账管理"/>
    <w:p>
      <w:pPr>
        <w:pStyle w:val="Heading3"/>
      </w:pPr>
      <w:r>
        <w:t xml:space="preserve">4.6 授权台账管理</w:t>
      </w:r>
    </w:p>
    <w:p>
      <w:pPr>
        <w:numPr>
          <w:ilvl w:val="0"/>
          <w:numId w:val="1007"/>
        </w:numPr>
        <w:pStyle w:val="Compact"/>
      </w:pPr>
      <w:r>
        <w:t xml:space="preserve">法务与风控部建立《授权委托书台账》,登记授权人、被授权人、事项、期限、限额、撤销情况;</w:t>
      </w:r>
    </w:p>
    <w:p>
      <w:pPr>
        <w:numPr>
          <w:ilvl w:val="0"/>
          <w:numId w:val="1007"/>
        </w:numPr>
        <w:pStyle w:val="Compact"/>
      </w:pPr>
      <w:r>
        <w:t xml:space="preserve">授权书到期、撤销、失效后 3 个工作日内应在台账中注销登记;</w:t>
      </w:r>
    </w:p>
    <w:p>
      <w:pPr>
        <w:numPr>
          <w:ilvl w:val="0"/>
          <w:numId w:val="1007"/>
        </w:numPr>
        <w:pStyle w:val="Compact"/>
      </w:pPr>
      <w:r>
        <w:t xml:space="preserve">审计部每半年度对授权台账与用印记录进行比对,核查越权用印、过期授权仍用印等情形。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提出授权申请 → 部门负责人审核 → 法务与风控部核稿 → 法定代表人/总经理批准</w:t>
      </w:r>
      <w:r>
        <w:br/>
      </w:r>
      <w:r>
        <w:rPr>
          <w:rStyle w:val="VerbatimChar"/>
        </w:rPr>
        <w:t xml:space="preserve">→ 出具《授权委托书》 → 台账登记 → 授权履行/到期/撤销 → 台账注销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申请人/被授权人</w:t>
      </w:r>
      <w:r>
        <w:t xml:space="preserve">:对授权事项的真实性负责,在授权范围内谨慎履职;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法务与风控部</w:t>
      </w:r>
      <w:r>
        <w:t xml:space="preserve">:对授权书合法性、授权台账管理负责;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综合管理部/财务部</w:t>
      </w:r>
      <w:r>
        <w:t xml:space="preserve">:对涉及印章、财务事项的授权配合核验;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审计部</w:t>
      </w:r>
      <w:r>
        <w:t xml:space="preserve">:对授权执行情况监督检查,发现越权、滥用授权的及时报告并追责。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9"/>
        </w:numPr>
        <w:pStyle w:val="Compact"/>
      </w:pPr>
      <w:r>
        <w:t xml:space="preserve">本办法由法务与风控部负责解释和修订;</w:t>
      </w:r>
    </w:p>
    <w:p>
      <w:pPr>
        <w:numPr>
          <w:ilvl w:val="0"/>
          <w:numId w:val="1009"/>
        </w:numPr>
        <w:pStyle w:val="Compact"/>
      </w:pPr>
      <w:r>
        <w:t xml:space="preserve">本办法自生效之日起施行;</w:t>
      </w:r>
    </w:p>
    <w:p>
      <w:pPr>
        <w:numPr>
          <w:ilvl w:val="0"/>
          <w:numId w:val="1009"/>
        </w:numPr>
        <w:pStyle w:val="Compact"/>
      </w:pPr>
      <w:r>
        <w:t xml:space="preserve">本办法未尽事宜,按《中华人民共和国民法典》关于代理的规定及公司其他制度执行。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Q1:口头授权是否有效?</w:t>
      </w:r>
      <w:r>
        <w:t xml:space="preserve"> </w:t>
      </w:r>
      <w:r>
        <w:t xml:space="preserve">A:无效。公司对外授权一律采用书面形式,出具《授权委托书》或《法定代表人授权书》。</w:t>
      </w:r>
    </w:p>
    <w:p>
      <w:pPr>
        <w:pStyle w:val="BodyText"/>
      </w:pPr>
      <w:r>
        <w:rPr>
          <w:bCs/>
          <w:b/>
        </w:rPr>
        <w:t xml:space="preserve">Q2:一般授权和特别授权有什么区别?</w:t>
      </w:r>
      <w:r>
        <w:t xml:space="preserve"> </w:t>
      </w:r>
      <w:r>
        <w:t xml:space="preserve">A:一般授权限于日常事务性事项,不得签署合同、不得处分公司资产;特别授权针对特定事项一次性授权,须载明事项、限额与期限。</w:t>
      </w:r>
    </w:p>
    <w:p>
      <w:pPr>
        <w:pStyle w:val="BodyText"/>
      </w:pPr>
      <w:r>
        <w:rPr>
          <w:bCs/>
          <w:b/>
        </w:rPr>
        <w:t xml:space="preserve">Q3:对外签订合同需要什么授权?</w:t>
      </w:r>
      <w:r>
        <w:t xml:space="preserve"> </w:t>
      </w:r>
      <w:r>
        <w:t xml:space="preserve">A:须取得书面特别授权,且金额限额与合同分级审批权限一致:5 万元(含)以上重要合同须经分管副总审核授权,20 万元(含)以上重大合同须经总经理/董事会批准授权。</w:t>
      </w:r>
    </w:p>
    <w:p>
      <w:pPr>
        <w:pStyle w:val="BodyText"/>
      </w:pPr>
      <w:r>
        <w:rPr>
          <w:bCs/>
          <w:b/>
        </w:rPr>
        <w:t xml:space="preserve">Q4:被授权人超越授权签合同,公司要负责吗?</w:t>
      </w:r>
      <w:r>
        <w:t xml:space="preserve"> </w:t>
      </w:r>
      <w:r>
        <w:t xml:space="preserve">A:越权代理对公司不发生效力;给公司造成损失的由被授权人承担赔偿责任。</w:t>
      </w:r>
    </w:p>
    <w:p>
      <w:pPr>
        <w:pStyle w:val="BodyText"/>
      </w:pPr>
      <w:r>
        <w:rPr>
          <w:bCs/>
          <w:b/>
        </w:rPr>
        <w:t xml:space="preserve">Q5:授权期限最长多久?</w:t>
      </w:r>
      <w:r>
        <w:t xml:space="preserve"> </w:t>
      </w:r>
      <w:r>
        <w:t xml:space="preserve">A:一般授权不超过 1 年;授权届满、事项完成或被授权人调离/离职即自动终止,需继续授权的应重新办理。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2026-08-08T04:22:46Z</dcterms:created>
  <dcterms:modified xsi:type="dcterms:W3CDTF">2026-08-08T04:22:46Z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