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华创智联科技有限公司-合同审批流程"/>
    <w:p>
      <w:pPr>
        <w:pStyle w:val="Heading1"/>
      </w:pPr>
      <w:r>
        <w:t xml:space="preserve">华创智联科技有限公司 合同审批流程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HZ-HT-SP-2026-002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法务与风控部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公司全体员工及各职能部门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为规范公司各类合同的审批权限与流转程序,确保合同签署前经过必要的法律、财务与业务审查,防范越权签约与合同风险,依据国家法律法规并结合公司治理要求,制定本流程。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《中华人民共和国民法典》(合同编);</w:t>
      </w:r>
    </w:p>
    <w:p>
      <w:pPr>
        <w:numPr>
          <w:ilvl w:val="0"/>
          <w:numId w:val="1001"/>
        </w:numPr>
        <w:pStyle w:val="Compact"/>
      </w:pPr>
      <w:r>
        <w:t xml:space="preserve">《中华人民共和国公司法》;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《华创智联科技有限公司采购合同管理制度》(HZ-HT-BZ-2026-001);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《华创智联科技有限公司法人授权管理办法》(HZ-ZL-SQ-2026-002);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《华创智联科技有限公司印章管理制度》(HZ-ZL-SY-2026-001)。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一般合同</w:t>
      </w:r>
      <w:r>
        <w:t xml:space="preserve">:单项金额 5 万元以下,或不属于重大、重要情形的日常业务合同。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重要合同</w:t>
      </w:r>
      <w:r>
        <w:t xml:space="preserve">:单项金额 5 万元(含)至 20 万元,或涉及知识产权、保密、长期合作等特殊情形的合同。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重大合同</w:t>
      </w:r>
      <w:r>
        <w:t xml:space="preserve">:单项金额 20 万元(含)以上,或涉及对外投资、担保、重大资产处置、股权变动等事项的合同。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会签</w:t>
      </w:r>
      <w:r>
        <w:t xml:space="preserve">:合同在业务部门发起后,由法务、财务等相关部门按顺序签署审查意见的过程。</w:t>
      </w:r>
    </w:p>
    <w:bookmarkEnd w:id="23"/>
    <w:bookmarkStart w:id="28" w:name="四制度正文"/>
    <w:p>
      <w:pPr>
        <w:pStyle w:val="Heading2"/>
      </w:pPr>
      <w:r>
        <w:t xml:space="preserve">四、制度正文</w:t>
      </w:r>
    </w:p>
    <w:bookmarkStart w:id="24" w:name="合同分级与审批权限"/>
    <w:p>
      <w:pPr>
        <w:pStyle w:val="Heading3"/>
      </w:pPr>
      <w:r>
        <w:t xml:space="preserve">4.1 合同分级与审批权限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合同类型</w:t>
            </w:r>
          </w:p>
        </w:tc>
        <w:tc>
          <w:p>
            <w:pPr>
              <w:pStyle w:val="Compact"/>
              <w:jc w:val="left"/>
            </w:pPr>
            <w:r>
              <w:t xml:space="preserve">金额标准</w:t>
            </w:r>
          </w:p>
        </w:tc>
        <w:tc>
          <w:p>
            <w:pPr>
              <w:pStyle w:val="Compact"/>
              <w:jc w:val="left"/>
            </w:pPr>
            <w:r>
              <w:t xml:space="preserve">审批权限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一般合同</w:t>
            </w:r>
          </w:p>
        </w:tc>
        <w:tc>
          <w:p>
            <w:pPr>
              <w:pStyle w:val="Compact"/>
              <w:jc w:val="left"/>
            </w:pPr>
            <w:r>
              <w:t xml:space="preserve">单项 5 万元以下</w:t>
            </w:r>
          </w:p>
        </w:tc>
        <w:tc>
          <w:p>
            <w:pPr>
              <w:pStyle w:val="Compact"/>
              <w:jc w:val="left"/>
            </w:pPr>
            <w:r>
              <w:t xml:space="preserve">部门负责人审批 + 法务会签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重要合同</w:t>
            </w:r>
          </w:p>
        </w:tc>
        <w:tc>
          <w:p>
            <w:pPr>
              <w:pStyle w:val="Compact"/>
              <w:jc w:val="left"/>
            </w:pPr>
            <w:r>
              <w:t xml:space="preserve">单项 5 万元(含)至 20 万元</w:t>
            </w:r>
          </w:p>
        </w:tc>
        <w:tc>
          <w:p>
            <w:pPr>
              <w:pStyle w:val="Compact"/>
              <w:jc w:val="left"/>
            </w:pPr>
            <w:r>
              <w:t xml:space="preserve">部门负责人+法务会签,并经分管副总审批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重大合同</w:t>
            </w:r>
          </w:p>
        </w:tc>
        <w:tc>
          <w:p>
            <w:pPr>
              <w:pStyle w:val="Compact"/>
              <w:jc w:val="left"/>
            </w:pPr>
            <w:r>
              <w:t xml:space="preserve">单项 20 万元(含)以上</w:t>
            </w:r>
          </w:p>
        </w:tc>
        <w:tc>
          <w:p>
            <w:pPr>
              <w:pStyle w:val="Compact"/>
              <w:jc w:val="left"/>
            </w:pPr>
            <w:r>
              <w:t xml:space="preserve">部门负责人+法务会签,经分管副总审核,报总经理/总经理办公会(或董事会)审批</w:t>
            </w:r>
          </w:p>
        </w:tc>
      </w:tr>
    </w:tbl>
    <w:p>
      <w:pPr>
        <w:pStyle w:val="BodyText"/>
      </w:pPr>
      <w:r>
        <w:t xml:space="preserve">涉及对外担保、投资、股权转让、重大资产处置的合同,无论金额大小,一律按重大合同履行审批程序。</w:t>
      </w:r>
    </w:p>
    <w:bookmarkEnd w:id="24"/>
    <w:bookmarkStart w:id="25" w:name="审批流转节点"/>
    <w:p>
      <w:pPr>
        <w:pStyle w:val="Heading3"/>
      </w:pPr>
      <w:r>
        <w:t xml:space="preserve">4.2 审批流转节点</w:t>
      </w:r>
    </w:p>
    <w:p>
      <w:pPr>
        <w:pStyle w:val="FirstParagraph"/>
      </w:pPr>
      <w:r>
        <w:t xml:space="preserve">合同审批按以下顺序流转,逐级留痕: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业务部门发起</w:t>
      </w:r>
      <w:r>
        <w:t xml:space="preserve">:业务部门发起人填写合同审批申请,上传合同文本草案及相关背景材料,签署本部门初审意见;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法务/风控审查</w:t>
      </w:r>
      <w:r>
        <w:t xml:space="preserve">:法务与风控部对合同合法性、条款完备性、风险控制措施进行审查,出具审查意见;审查中发现重大风险的,退回业务部门修改;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财务审查</w:t>
      </w:r>
      <w:r>
        <w:t xml:space="preserve">:财务部对合同金额、付款条件、发票约定、税务与预算合规性进行审查;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分管副总审批</w:t>
      </w:r>
      <w:r>
        <w:t xml:space="preserve">:重要合同由分管副总对业务必要性、商务条件进行审批;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总经理/董事会审批</w:t>
      </w:r>
      <w:r>
        <w:t xml:space="preserve">:重大合同由总经理审批,达到公司章程规定的重大事项标准时,提交总经理办公会或董事会审议。</w:t>
      </w:r>
    </w:p>
    <w:bookmarkEnd w:id="25"/>
    <w:bookmarkStart w:id="26" w:name="电子审批系统留痕"/>
    <w:p>
      <w:pPr>
        <w:pStyle w:val="Heading3"/>
      </w:pPr>
      <w:r>
        <w:t xml:space="preserve">4.3 电子审批系统留痕</w:t>
      </w:r>
    </w:p>
    <w:p>
      <w:pPr>
        <w:numPr>
          <w:ilvl w:val="0"/>
          <w:numId w:val="1004"/>
        </w:numPr>
        <w:pStyle w:val="Compact"/>
      </w:pPr>
      <w:r>
        <w:t xml:space="preserve">所有合同审批一律通过公司 OA 电子审批系统完成,系统自动记录审批人、审批时间、审批意见、文件版本;</w:t>
      </w:r>
    </w:p>
    <w:p>
      <w:pPr>
        <w:numPr>
          <w:ilvl w:val="0"/>
          <w:numId w:val="1004"/>
        </w:numPr>
        <w:pStyle w:val="Compact"/>
      </w:pPr>
      <w:r>
        <w:t xml:space="preserve">电子审批记录与最终签署版合同一并归档,作为合同效力的审批依据;</w:t>
      </w:r>
    </w:p>
    <w:p>
      <w:pPr>
        <w:numPr>
          <w:ilvl w:val="0"/>
          <w:numId w:val="1004"/>
        </w:numPr>
        <w:pStyle w:val="Compact"/>
      </w:pPr>
      <w:r>
        <w:t xml:space="preserve">不得以口头同意、微信消息等方式代替正式审批;确因紧急情况需先行签署的,须经分管副总以上批准,并在 3 个工作日内补办审批程序。</w:t>
      </w:r>
    </w:p>
    <w:bookmarkEnd w:id="26"/>
    <w:bookmarkStart w:id="27" w:name="权限与越权处理"/>
    <w:p>
      <w:pPr>
        <w:pStyle w:val="Heading3"/>
      </w:pPr>
      <w:r>
        <w:t xml:space="preserve">4.4 权限与越权处理</w:t>
      </w:r>
    </w:p>
    <w:p>
      <w:pPr>
        <w:numPr>
          <w:ilvl w:val="0"/>
          <w:numId w:val="1005"/>
        </w:numPr>
        <w:pStyle w:val="Compact"/>
      </w:pPr>
      <w:r>
        <w:t xml:space="preserve">审批人须在授权范围内审批,不得越级或代为审批;</w:t>
      </w:r>
    </w:p>
    <w:p>
      <w:pPr>
        <w:numPr>
          <w:ilvl w:val="0"/>
          <w:numId w:val="1005"/>
        </w:numPr>
        <w:pStyle w:val="Compact"/>
      </w:pPr>
      <w:r>
        <w:t xml:space="preserve">未经审批或超越审批权限签署的合同,公司有权不予认可;给公司造成损失的,依据《法人授权管理办法》及公司相关制度追究签约人与审批人责任;</w:t>
      </w:r>
    </w:p>
    <w:p>
      <w:pPr>
        <w:numPr>
          <w:ilvl w:val="0"/>
          <w:numId w:val="1005"/>
        </w:numPr>
        <w:pStyle w:val="Compact"/>
      </w:pPr>
      <w:r>
        <w:t xml:space="preserve">采购审批金额分级(5 万元以下部门负责人、5 万元(含)至 20 万元分管副总、20 万元(含)以上总经理办公会或董事会)与本流程金额口径保持一致。</w:t>
      </w:r>
    </w:p>
    <w:bookmarkEnd w:id="27"/>
    <w:bookmarkEnd w:id="28"/>
    <w:bookmarkStart w:id="29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业务部门发起 → 部门负责人初审 → 法务/风控会签 → 财务会签</w:t>
      </w:r>
      <w:r>
        <w:br/>
      </w:r>
      <w:r>
        <w:rPr>
          <w:rStyle w:val="VerbatimChar"/>
        </w:rPr>
        <w:t xml:space="preserve">→ 分管副总审批(重要合同) → 总经理/总经理办公会或董事会审批(重大合同)</w:t>
      </w:r>
      <w:r>
        <w:br/>
      </w:r>
      <w:r>
        <w:rPr>
          <w:rStyle w:val="VerbatimChar"/>
        </w:rPr>
        <w:t xml:space="preserve">→ 电子系统留痕 → 用印签署 → 归档</w:t>
      </w:r>
    </w:p>
    <w:bookmarkEnd w:id="29"/>
    <w:bookmarkStart w:id="30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6"/>
        </w:numPr>
        <w:pStyle w:val="Compact"/>
      </w:pPr>
      <w:r>
        <w:t xml:space="preserve">业务部门对申请材料的真实性、完整性负责;</w:t>
      </w:r>
    </w:p>
    <w:p>
      <w:pPr>
        <w:numPr>
          <w:ilvl w:val="0"/>
          <w:numId w:val="1006"/>
        </w:numPr>
        <w:pStyle w:val="Compact"/>
      </w:pPr>
      <w:r>
        <w:t xml:space="preserve">法务与风控部对合同审查意见负责,应建立合同审查台账;</w:t>
      </w:r>
    </w:p>
    <w:p>
      <w:pPr>
        <w:numPr>
          <w:ilvl w:val="0"/>
          <w:numId w:val="1006"/>
        </w:numPr>
        <w:pStyle w:val="Compact"/>
      </w:pPr>
      <w:r>
        <w:t xml:space="preserve">财务部对付款与税务合规性负责;</w:t>
      </w:r>
    </w:p>
    <w:p>
      <w:pPr>
        <w:numPr>
          <w:ilvl w:val="0"/>
          <w:numId w:val="1006"/>
        </w:numPr>
        <w:pStyle w:val="Compact"/>
      </w:pPr>
      <w:r>
        <w:t xml:space="preserve">审计部定期检查审批权限执行情况,重点核查拆分合同规避审批、事后补签、越权审批等情形,每季度通报一次。</w:t>
      </w:r>
    </w:p>
    <w:bookmarkEnd w:id="30"/>
    <w:bookmarkStart w:id="31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7"/>
        </w:numPr>
        <w:pStyle w:val="Compact"/>
      </w:pPr>
      <w:r>
        <w:t xml:space="preserve">本流程由法务与风控部负责解释和修订;</w:t>
      </w:r>
    </w:p>
    <w:p>
      <w:pPr>
        <w:numPr>
          <w:ilvl w:val="0"/>
          <w:numId w:val="1007"/>
        </w:numPr>
        <w:pStyle w:val="Compact"/>
      </w:pPr>
      <w:r>
        <w:t xml:space="preserve">本流程自生效之日起施行;</w:t>
      </w:r>
    </w:p>
    <w:p>
      <w:pPr>
        <w:numPr>
          <w:ilvl w:val="0"/>
          <w:numId w:val="1007"/>
        </w:numPr>
        <w:pStyle w:val="Compact"/>
      </w:pPr>
      <w:r>
        <w:t xml:space="preserve">本流程未尽事宜,按公司其他制度及国家法律法规执行。</w:t>
      </w:r>
    </w:p>
    <w:p>
      <w:r>
        <w:pict>
          <v:rect style="width:0;height:1.5pt" o:hralign="center" o:hrstd="t" o:hr="t"/>
        </w:pict>
      </w:r>
    </w:p>
    <w:bookmarkEnd w:id="31"/>
    <w:bookmarkStart w:id="32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Q1:合同金额 12 万元,审批需要走到哪一级?</w:t>
      </w:r>
      <w:r>
        <w:t xml:space="preserve"> </w:t>
      </w:r>
      <w:r>
        <w:t xml:space="preserve">A:属于重要合同(5 万元(含)至 20 万元),需部门负责人+法务会签,并经分管副总审批。</w:t>
      </w:r>
    </w:p>
    <w:p>
      <w:pPr>
        <w:pStyle w:val="BodyText"/>
      </w:pPr>
      <w:r>
        <w:rPr>
          <w:bCs/>
          <w:b/>
        </w:rPr>
        <w:t xml:space="preserve">Q2:一般合同是否需要法务会签?</w:t>
      </w:r>
      <w:r>
        <w:t xml:space="preserve"> </w:t>
      </w:r>
      <w:r>
        <w:t xml:space="preserve">A:需要。一般合同(单项 5 万元以下)由部门负责人审批并法务会签。</w:t>
      </w:r>
    </w:p>
    <w:p>
      <w:pPr>
        <w:pStyle w:val="BodyText"/>
      </w:pPr>
      <w:r>
        <w:rPr>
          <w:bCs/>
          <w:b/>
        </w:rPr>
        <w:t xml:space="preserve">Q3:合同金额 30 万元,审批权限在谁?</w:t>
      </w:r>
      <w:r>
        <w:t xml:space="preserve"> </w:t>
      </w:r>
      <w:r>
        <w:t xml:space="preserve">A:属于重大合同(20 万元(含)以上),需加总经理/总经理办公会(或董事会)审批。</w:t>
      </w:r>
    </w:p>
    <w:p>
      <w:pPr>
        <w:pStyle w:val="BodyText"/>
      </w:pPr>
      <w:r>
        <w:rPr>
          <w:bCs/>
          <w:b/>
        </w:rPr>
        <w:t xml:space="preserve">Q4:业务紧急,能否先签合同后补审批?</w:t>
      </w:r>
      <w:r>
        <w:t xml:space="preserve"> </w:t>
      </w:r>
      <w:r>
        <w:t xml:space="preserve">A:确因紧急情况需先行签署的,须经分管副总以上批准,并在 3 个工作日内补办审批程序;未经任何批准不得先签后补。</w:t>
      </w:r>
    </w:p>
    <w:p>
      <w:pPr>
        <w:pStyle w:val="BodyText"/>
      </w:pPr>
      <w:r>
        <w:rPr>
          <w:bCs/>
          <w:b/>
        </w:rPr>
        <w:t xml:space="preserve">Q5:审批记录如何保存?</w:t>
      </w:r>
      <w:r>
        <w:t xml:space="preserve"> </w:t>
      </w:r>
      <w:r>
        <w:t xml:space="preserve">A:通过 OA 电子审批系统完成,系统自动留痕,审批记录与签署版合同一并归档。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2026-08-08T04:22:46Z</dcterms:created>
  <dcterms:modified xsi:type="dcterms:W3CDTF">2026-08-08T04:22:46Z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