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合同风险控制指南"/>
    <w:p>
      <w:pPr>
        <w:pStyle w:val="Heading1"/>
      </w:pPr>
      <w:r>
        <w:t xml:space="preserve">华创智联科技有限公司 合同风险控制指南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HZ-HT-FX-2026-004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法务与风控部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公司全体员工,重点为合同起草、审查、审批相关岗位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提升公司合同审查质量,系统识别与防控合同订立和履行过程中的法律与商业风险,重点规范付款条款、违约责任、知识产权、保密与竞业、争议解决等关键条款的审查要点,为业务与法务人员提供操作指引,制定本指南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《中华人民共和国民法典》(合同编);</w:t>
      </w:r>
    </w:p>
    <w:p>
      <w:pPr>
        <w:numPr>
          <w:ilvl w:val="0"/>
          <w:numId w:val="1001"/>
        </w:numPr>
        <w:pStyle w:val="Compact"/>
      </w:pPr>
      <w:r>
        <w:t xml:space="preserve">《中华人民共和国反不正当竞争法》;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《中华人民共和国著作权法》;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《中华人民共和国个人信息保护法》;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《华创智联科技有限公司采购合同管理制度》(HZ-HT-BZ-2026-001);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《华创智联科技有限公司合同审批流程》(HZ-HT-SP-2026-002)。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付款与验收挂钩</w:t>
      </w:r>
      <w:r>
        <w:t xml:space="preserve">:付款节点的设置与交付、验收、质保等履约节点相对应,避免付款义务脱离履约进程。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质保金</w:t>
      </w:r>
      <w:r>
        <w:t xml:space="preserve">:按合同约定暂扣、于质保期满后支付的款项,用于约束相对方履行质保义务。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违约责任对等</w:t>
      </w:r>
      <w:r>
        <w:t xml:space="preserve">:合同双方违约责任条款在范围、标准、限度上基本对等。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争议解决条款</w:t>
      </w:r>
      <w:r>
        <w:t xml:space="preserve">:约定争议由诉讼或仲裁解决及管辖机构、适用法律的条款。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付款条款风险审查要点"/>
    <w:p>
      <w:pPr>
        <w:pStyle w:val="Heading3"/>
      </w:pPr>
      <w:r>
        <w:t xml:space="preserve">4.1 付款条款风险审查要点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风险情形</w:t>
            </w:r>
          </w:p>
        </w:tc>
        <w:tc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p>
            <w:pPr>
              <w:pStyle w:val="Compact"/>
              <w:jc w:val="left"/>
            </w:pPr>
            <w:r>
              <w:t xml:space="preserve">防控要求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预付款比例过高</w:t>
            </w:r>
          </w:p>
        </w:tc>
        <w:tc>
          <w:p>
            <w:pPr>
              <w:pStyle w:val="Compact"/>
              <w:jc w:val="left"/>
            </w:pPr>
            <w:r>
              <w:t xml:space="preserve">我方预付比例超过合理范围,相对方违约时损失难以追回</w:t>
            </w:r>
          </w:p>
        </w:tc>
        <w:tc>
          <w:p>
            <w:pPr>
              <w:pStyle w:val="Compact"/>
              <w:jc w:val="left"/>
            </w:pPr>
            <w:r>
              <w:t xml:space="preserve">预付款原则上不超过合同金额的 30%;供应商首次合作或资信不足时,预付款不超过 20% 或争取货到付款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付款与验收脱钩</w:t>
            </w:r>
          </w:p>
        </w:tc>
        <w:tc>
          <w:p>
            <w:pPr>
              <w:pStyle w:val="Compact"/>
              <w:jc w:val="left"/>
            </w:pPr>
            <w:r>
              <w:t xml:space="preserve">约定付款在先、验收在后,或</w:t>
            </w:r>
            <w:r>
              <w:t xml:space="preserve">“</w:t>
            </w:r>
            <w:r>
              <w:t xml:space="preserve">付款即视为验收合格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付款节点必须与交付、验收挂钩;验收合格前不得付清全款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无质保金</w:t>
            </w:r>
          </w:p>
        </w:tc>
        <w:tc>
          <w:p>
            <w:pPr>
              <w:pStyle w:val="Compact"/>
              <w:jc w:val="left"/>
            </w:pPr>
            <w:r>
              <w:t xml:space="preserve">无质保条款或质保金安排,质保期内质量问题无约束</w:t>
            </w:r>
          </w:p>
        </w:tc>
        <w:tc>
          <w:p>
            <w:pPr>
              <w:pStyle w:val="Compact"/>
              <w:jc w:val="left"/>
            </w:pPr>
            <w:r>
              <w:t xml:space="preserve">重要采购/工程项目应约定不低于合同金额 5% 的质保金,质保期满且无质量问题后支付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逾期付款责任不对等</w:t>
            </w:r>
          </w:p>
        </w:tc>
        <w:tc>
          <w:p>
            <w:pPr>
              <w:pStyle w:val="Compact"/>
              <w:jc w:val="left"/>
            </w:pPr>
            <w:r>
              <w:t xml:space="preserve">我方逾期付款责任较重,相对方逾期交付责任较轻</w:t>
            </w:r>
          </w:p>
        </w:tc>
        <w:tc>
          <w:p>
            <w:pPr>
              <w:pStyle w:val="Compact"/>
              <w:jc w:val="left"/>
            </w:pPr>
            <w:r>
              <w:t xml:space="preserve">双方逾期责任应基本对等,罚则比例相当,避免单方高额违约金</w:t>
            </w:r>
          </w:p>
        </w:tc>
      </w:tr>
    </w:tbl>
    <w:bookmarkEnd w:id="24"/>
    <w:bookmarkStart w:id="25" w:name="违约责任对等性审查"/>
    <w:p>
      <w:pPr>
        <w:pStyle w:val="Heading3"/>
      </w:pPr>
      <w:r>
        <w:t xml:space="preserve">4.2 违约责任对等性审查</w:t>
      </w:r>
    </w:p>
    <w:p>
      <w:pPr>
        <w:numPr>
          <w:ilvl w:val="0"/>
          <w:numId w:val="1003"/>
        </w:numPr>
        <w:pStyle w:val="Compact"/>
      </w:pPr>
      <w:r>
        <w:t xml:space="preserve">违约金比例、赔偿范围、责任上限应对等设定,避免出现</w:t>
      </w:r>
      <w:r>
        <w:t xml:space="preserve">“</w:t>
      </w:r>
      <w:r>
        <w:t xml:space="preserve">我方高额赔偿、对方象征性赔偿</w:t>
      </w:r>
      <w:r>
        <w:t xml:space="preserve">”</w:t>
      </w:r>
      <w:r>
        <w:t xml:space="preserve">的不对等条款;</w:t>
      </w:r>
    </w:p>
    <w:p>
      <w:pPr>
        <w:numPr>
          <w:ilvl w:val="0"/>
          <w:numId w:val="1003"/>
        </w:numPr>
        <w:pStyle w:val="Compact"/>
      </w:pPr>
      <w:r>
        <w:t xml:space="preserve">违约金数额应合理,一般不超过合同金额的 30%,防止约定过高被依法调减(参照《民法典》第五百八十五条);</w:t>
      </w:r>
    </w:p>
    <w:p>
      <w:pPr>
        <w:numPr>
          <w:ilvl w:val="0"/>
          <w:numId w:val="1003"/>
        </w:numPr>
        <w:pStyle w:val="Compact"/>
      </w:pPr>
      <w:r>
        <w:t xml:space="preserve">明确因一方违约给对方造成损失时的赔偿范围,必要时约定责任上限条款。</w:t>
      </w:r>
    </w:p>
    <w:bookmarkEnd w:id="25"/>
    <w:bookmarkStart w:id="26" w:name="知识产权归属审查"/>
    <w:p>
      <w:pPr>
        <w:pStyle w:val="Heading3"/>
      </w:pPr>
      <w:r>
        <w:t xml:space="preserve">4.3 知识产权归属审查</w:t>
      </w:r>
    </w:p>
    <w:p>
      <w:pPr>
        <w:numPr>
          <w:ilvl w:val="0"/>
          <w:numId w:val="1004"/>
        </w:numPr>
        <w:pStyle w:val="Compact"/>
      </w:pPr>
      <w:r>
        <w:t xml:space="preserve">采购、定制开发、委托设计类合同中,应明确约定成果的知识产权归属:</w:t>
      </w:r>
    </w:p>
    <w:p>
      <w:pPr>
        <w:numPr>
          <w:ilvl w:val="1"/>
          <w:numId w:val="1005"/>
        </w:numPr>
        <w:pStyle w:val="Compact"/>
      </w:pPr>
      <w:r>
        <w:t xml:space="preserve">委托方定制开发的,应争取著作权/专利权归我方所有,或至少取得独占使用权;</w:t>
      </w:r>
    </w:p>
    <w:p>
      <w:pPr>
        <w:numPr>
          <w:ilvl w:val="1"/>
          <w:numId w:val="1005"/>
        </w:numPr>
        <w:pStyle w:val="Compact"/>
      </w:pPr>
      <w:r>
        <w:t xml:space="preserve">涉及公司已有技术、商业秘密的,应约定背景知识产权归各自所有;</w:t>
      </w:r>
    </w:p>
    <w:p>
      <w:pPr>
        <w:numPr>
          <w:ilvl w:val="0"/>
          <w:numId w:val="1004"/>
        </w:numPr>
        <w:pStyle w:val="Compact"/>
      </w:pPr>
      <w:r>
        <w:t xml:space="preserve">合同应包含知识产权保证条款,即相对方保证其交付成果不侵犯第三方知识产权,并承担由此产生的侵权责任;</w:t>
      </w:r>
    </w:p>
    <w:p>
      <w:pPr>
        <w:numPr>
          <w:ilvl w:val="0"/>
          <w:numId w:val="1004"/>
        </w:numPr>
        <w:pStyle w:val="Compact"/>
      </w:pPr>
      <w:r>
        <w:t xml:space="preserve">涉及软件、系统、内容交付的,应明确源代码、文档、素材的交付范围与归属。</w:t>
      </w:r>
    </w:p>
    <w:bookmarkEnd w:id="26"/>
    <w:bookmarkStart w:id="27" w:name="保密与竞业限制审查"/>
    <w:p>
      <w:pPr>
        <w:pStyle w:val="Heading3"/>
      </w:pPr>
      <w:r>
        <w:t xml:space="preserve">4.4 保密与竞业限制审查</w:t>
      </w:r>
    </w:p>
    <w:p>
      <w:pPr>
        <w:numPr>
          <w:ilvl w:val="0"/>
          <w:numId w:val="1006"/>
        </w:numPr>
        <w:pStyle w:val="Compact"/>
      </w:pPr>
      <w:r>
        <w:t xml:space="preserve">合同应包含保密条款,明确保密信息范围(技术信息与经营信息)、保密义务期限、违约责任;</w:t>
      </w:r>
    </w:p>
    <w:p>
      <w:pPr>
        <w:numPr>
          <w:ilvl w:val="0"/>
          <w:numId w:val="1006"/>
        </w:numPr>
        <w:pStyle w:val="Compact"/>
      </w:pPr>
      <w:r>
        <w:t xml:space="preserve">涉及核心业务合作的,可约定相对方及其人员在职期间及离职后的保密义务(依《反不正当竞争法》第九条保护商业秘密);</w:t>
      </w:r>
    </w:p>
    <w:p>
      <w:pPr>
        <w:numPr>
          <w:ilvl w:val="0"/>
          <w:numId w:val="1006"/>
        </w:numPr>
        <w:pStyle w:val="Compact"/>
      </w:pPr>
      <w:r>
        <w:t xml:space="preserve">需要竞业限制的,期限不得超过 2 年,并须支付经济补偿,补偿标准依法约定;</w:t>
      </w:r>
    </w:p>
    <w:p>
      <w:pPr>
        <w:numPr>
          <w:ilvl w:val="0"/>
          <w:numId w:val="1006"/>
        </w:numPr>
        <w:pStyle w:val="Compact"/>
      </w:pPr>
      <w:r>
        <w:t xml:space="preserve">我方对外保密条款与《商业秘密保护规定》(HZ-ZS-SM-2026-003)保持一致。</w:t>
      </w:r>
    </w:p>
    <w:bookmarkEnd w:id="27"/>
    <w:bookmarkStart w:id="28" w:name="争议解决条款审查"/>
    <w:p>
      <w:pPr>
        <w:pStyle w:val="Heading3"/>
      </w:pPr>
      <w:r>
        <w:t xml:space="preserve">4.5 争议解决条款审查</w:t>
      </w:r>
    </w:p>
    <w:p>
      <w:pPr>
        <w:numPr>
          <w:ilvl w:val="0"/>
          <w:numId w:val="1007"/>
        </w:numPr>
        <w:pStyle w:val="Compact"/>
      </w:pPr>
      <w:r>
        <w:t xml:space="preserve">合同应明确约定争议解决方式(诉讼或仲裁二选一),并确定管辖法院或仲裁机构;</w:t>
      </w:r>
    </w:p>
    <w:p>
      <w:pPr>
        <w:numPr>
          <w:ilvl w:val="0"/>
          <w:numId w:val="1007"/>
        </w:numPr>
        <w:pStyle w:val="Compact"/>
      </w:pPr>
      <w:r>
        <w:t xml:space="preserve">诉讼管辖:约定我方所在地法院管辖(在不违反级别管辖与专属管辖的前提下);</w:t>
      </w:r>
    </w:p>
    <w:p>
      <w:pPr>
        <w:numPr>
          <w:ilvl w:val="0"/>
          <w:numId w:val="1007"/>
        </w:numPr>
        <w:pStyle w:val="Compact"/>
      </w:pPr>
      <w:r>
        <w:t xml:space="preserve">仲裁:如选择仲裁,须明确仲裁机构全称、仲裁规则与仲裁地;</w:t>
      </w:r>
    </w:p>
    <w:p>
      <w:pPr>
        <w:numPr>
          <w:ilvl w:val="0"/>
          <w:numId w:val="1007"/>
        </w:numPr>
        <w:pStyle w:val="Compact"/>
      </w:pPr>
      <w:r>
        <w:t xml:space="preserve">避免同时约定诉讼与仲裁,或约定不明确的仲裁机构导致条款无效。</w:t>
      </w:r>
    </w:p>
    <w:bookmarkEnd w:id="28"/>
    <w:bookmarkStart w:id="29" w:name="合同审查清单"/>
    <w:p>
      <w:pPr>
        <w:pStyle w:val="Heading3"/>
      </w:pPr>
      <w:r>
        <w:t xml:space="preserve">4.6 合同审查清单</w:t>
      </w:r>
    </w:p>
    <w:p>
      <w:pPr>
        <w:pStyle w:val="FirstParagraph"/>
      </w:pPr>
      <w:r>
        <w:t xml:space="preserve">签署前,业务与法务应按以下清单逐项核对:</w:t>
      </w:r>
    </w:p>
    <w:p>
      <w:pPr>
        <w:numPr>
          <w:ilvl w:val="0"/>
          <w:numId w:val="1008"/>
        </w:numPr>
        <w:pStyle w:val="Compact"/>
      </w:pPr>
      <w:r>
        <w:t xml:space="preserve">合同主体:名称与营业执照一致、具备资质、未被列入失信名单;</w:t>
      </w:r>
    </w:p>
    <w:p>
      <w:pPr>
        <w:numPr>
          <w:ilvl w:val="0"/>
          <w:numId w:val="1008"/>
        </w:numPr>
        <w:pStyle w:val="Compact"/>
      </w:pPr>
      <w:r>
        <w:t xml:space="preserve">标的条款:标的物/服务内容、规格、数量、质量标准明确;</w:t>
      </w:r>
    </w:p>
    <w:p>
      <w:pPr>
        <w:numPr>
          <w:ilvl w:val="0"/>
          <w:numId w:val="1008"/>
        </w:numPr>
        <w:pStyle w:val="Compact"/>
      </w:pPr>
      <w:r>
        <w:t xml:space="preserve">价格条款:金额、币种、含税/不含税、发票类型明确;</w:t>
      </w:r>
    </w:p>
    <w:p>
      <w:pPr>
        <w:numPr>
          <w:ilvl w:val="0"/>
          <w:numId w:val="1008"/>
        </w:numPr>
        <w:pStyle w:val="Compact"/>
      </w:pPr>
      <w:r>
        <w:t xml:space="preserve">交付与验收:交付时间、地点、验收标准、验收期限明确;</w:t>
      </w:r>
    </w:p>
    <w:p>
      <w:pPr>
        <w:numPr>
          <w:ilvl w:val="0"/>
          <w:numId w:val="1008"/>
        </w:numPr>
        <w:pStyle w:val="Compact"/>
      </w:pPr>
      <w:r>
        <w:t xml:space="preserve">付款条款:预付款比例合理、付款与验收挂钩、有质保金安排;</w:t>
      </w:r>
    </w:p>
    <w:p>
      <w:pPr>
        <w:numPr>
          <w:ilvl w:val="0"/>
          <w:numId w:val="1008"/>
        </w:numPr>
        <w:pStyle w:val="Compact"/>
      </w:pPr>
      <w:r>
        <w:t xml:space="preserve">违约责任:对等、合理、有责任上限;</w:t>
      </w:r>
    </w:p>
    <w:p>
      <w:pPr>
        <w:numPr>
          <w:ilvl w:val="0"/>
          <w:numId w:val="1008"/>
        </w:numPr>
        <w:pStyle w:val="Compact"/>
      </w:pPr>
      <w:r>
        <w:t xml:space="preserve">知识产权:归属、使用权限、不侵权保证明确;</w:t>
      </w:r>
    </w:p>
    <w:p>
      <w:pPr>
        <w:numPr>
          <w:ilvl w:val="0"/>
          <w:numId w:val="1008"/>
        </w:numPr>
        <w:pStyle w:val="Compact"/>
      </w:pPr>
      <w:r>
        <w:t xml:space="preserve">保密与竞业:保密范围、期限、违约责任明确;</w:t>
      </w:r>
    </w:p>
    <w:p>
      <w:pPr>
        <w:numPr>
          <w:ilvl w:val="0"/>
          <w:numId w:val="1008"/>
        </w:numPr>
        <w:pStyle w:val="Compact"/>
      </w:pPr>
      <w:r>
        <w:t xml:space="preserve">争议解决:管辖约定明确、合法有效;</w:t>
      </w:r>
    </w:p>
    <w:p>
      <w:pPr>
        <w:numPr>
          <w:ilvl w:val="0"/>
          <w:numId w:val="1008"/>
        </w:numPr>
        <w:pStyle w:val="Compact"/>
      </w:pPr>
      <w:r>
        <w:t xml:space="preserve">附件:技术规格、服务范围、订单格式等附件完备并作为合同组成部分。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合同文本起草 → 业务部门自审(对照清单) → 法务审查(重点条款)</w:t>
      </w:r>
      <w:r>
        <w:br/>
      </w:r>
      <w:r>
        <w:rPr>
          <w:rStyle w:val="VerbatimChar"/>
        </w:rPr>
        <w:t xml:space="preserve">→ 财务审查(付款/税务) → 分级审批 → 用印签署 → 归档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业务部门</w:t>
      </w:r>
      <w:r>
        <w:t xml:space="preserve">:对照审查清单完成自审,确保商务条款真实可行;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法务与风控部</w:t>
      </w:r>
      <w:r>
        <w:t xml:space="preserve">:对重点风险条款把关,出具书面审查意见;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财务部</w:t>
      </w:r>
      <w:r>
        <w:t xml:space="preserve">:对付款安排与预算合规性把关;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审计部</w:t>
      </w:r>
      <w:r>
        <w:t xml:space="preserve">:对合同审查执行情况进行抽查,对未按清单审查导致损失的情形提出追责建议;</w:t>
      </w:r>
    </w:p>
    <w:p>
      <w:pPr>
        <w:numPr>
          <w:ilvl w:val="0"/>
          <w:numId w:val="1009"/>
        </w:numPr>
        <w:pStyle w:val="Compact"/>
      </w:pPr>
      <w:r>
        <w:t xml:space="preserve">本指南所列风险点及审查清单,纳入员工合同管理培训内容。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0"/>
        </w:numPr>
        <w:pStyle w:val="Compact"/>
      </w:pPr>
      <w:r>
        <w:t xml:space="preserve">本指南由法务与风控部负责解释和修订;</w:t>
      </w:r>
    </w:p>
    <w:p>
      <w:pPr>
        <w:numPr>
          <w:ilvl w:val="0"/>
          <w:numId w:val="1010"/>
        </w:numPr>
        <w:pStyle w:val="Compact"/>
      </w:pPr>
      <w:r>
        <w:t xml:space="preserve">本指南自生效之日起施行;</w:t>
      </w:r>
    </w:p>
    <w:p>
      <w:pPr>
        <w:numPr>
          <w:ilvl w:val="0"/>
          <w:numId w:val="1010"/>
        </w:numPr>
        <w:pStyle w:val="Compact"/>
      </w:pPr>
      <w:r>
        <w:t xml:space="preserve">本指南为操作指引,不代替具体合同的专业法律审查。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Q1:预付款最高可以约定多少?</w:t>
      </w:r>
      <w:r>
        <w:t xml:space="preserve"> </w:t>
      </w:r>
      <w:r>
        <w:t xml:space="preserve">A:原则上不超过合同金额的 30%;供应商首次合作或资信不足时不超过 20% 或争取货到付款。</w:t>
      </w:r>
    </w:p>
    <w:p>
      <w:pPr>
        <w:pStyle w:val="BodyText"/>
      </w:pPr>
      <w:r>
        <w:rPr>
          <w:bCs/>
          <w:b/>
        </w:rPr>
        <w:t xml:space="preserve">Q2:为什么要约定质保金?</w:t>
      </w:r>
      <w:r>
        <w:t xml:space="preserve"> </w:t>
      </w:r>
      <w:r>
        <w:t xml:space="preserve">A:用于约束相对方履行质保义务,一般不低于合同金额的 5%,质保期满且无质量问题后支付。</w:t>
      </w:r>
    </w:p>
    <w:p>
      <w:pPr>
        <w:pStyle w:val="BodyText"/>
      </w:pPr>
      <w:r>
        <w:rPr>
          <w:bCs/>
          <w:b/>
        </w:rPr>
        <w:t xml:space="preserve">Q3:违约金比例有什么限制?</w:t>
      </w:r>
      <w:r>
        <w:t xml:space="preserve"> </w:t>
      </w:r>
      <w:r>
        <w:t xml:space="preserve">A:应合理设定,一般不超过合同金额的 30%,过高可能被法院依法调减。</w:t>
      </w:r>
    </w:p>
    <w:p>
      <w:pPr>
        <w:pStyle w:val="BodyText"/>
      </w:pPr>
      <w:r>
        <w:rPr>
          <w:bCs/>
          <w:b/>
        </w:rPr>
        <w:t xml:space="preserve">Q4:定制开发成果的知识产权归谁?</w:t>
      </w:r>
      <w:r>
        <w:t xml:space="preserve"> </w:t>
      </w:r>
      <w:r>
        <w:t xml:space="preserve">A:应尽量争取归我方所有或取得独占使用权,并在合同中明确背景知识产权归各自所有及不侵权保证。</w:t>
      </w:r>
    </w:p>
    <w:p>
      <w:pPr>
        <w:pStyle w:val="BodyText"/>
      </w:pPr>
      <w:r>
        <w:rPr>
          <w:bCs/>
          <w:b/>
        </w:rPr>
        <w:t xml:space="preserve">Q5:竞业限制期限最长多久?</w:t>
      </w:r>
      <w:r>
        <w:t xml:space="preserve"> </w:t>
      </w:r>
      <w:r>
        <w:t xml:space="preserve">A:不超过 2 年,且须支付经济补偿。</w:t>
      </w:r>
    </w:p>
    <w:p>
      <w:pPr>
        <w:pStyle w:val="BodyText"/>
      </w:pPr>
      <w:r>
        <w:rPr>
          <w:bCs/>
          <w:b/>
        </w:rPr>
        <w:t xml:space="preserve">Q6:合同约定争议解决要注意什么?</w:t>
      </w:r>
      <w:r>
        <w:t xml:space="preserve"> </w:t>
      </w:r>
      <w:r>
        <w:t xml:space="preserve">A:诉讼与仲裁二选一,仲裁机构须明确,诉讼尽量约定我方所在地法院管辖,避免条款无效。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2026-08-08T04:22:46Z</dcterms:created>
  <dcterms:modified xsi:type="dcterms:W3CDTF">2026-08-08T04:22:46Z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