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HCZL-PM-001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采购部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公司采购及供应商管理相关业务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3" w:name="华创智联科技有限公司供应商管理制度"/>
    <w:p>
      <w:pPr>
        <w:pStyle w:val="Heading1"/>
      </w:pPr>
      <w:r>
        <w:t xml:space="preserve">华创智联科技有限公司供应商管理制度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为规范供应商准入、评估与管理,建立稳定的供应体系,降低采购风险,特制定本制度。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本制度依据《中华人民共和国民法典》《中华人民共和国招标投标法》等制定。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供应商:指向公司提供商品、服务或工程的专业单位。</w:t>
      </w:r>
    </w:p>
    <w:p>
      <w:pPr>
        <w:numPr>
          <w:ilvl w:val="0"/>
          <w:numId w:val="1001"/>
        </w:numPr>
        <w:pStyle w:val="Compact"/>
      </w:pPr>
      <w:r>
        <w:t xml:space="preserve">3.2 战略供应商:指与公司建立长期战略合作关系的重要供应商。</w:t>
      </w:r>
    </w:p>
    <w:p>
      <w:pPr>
        <w:numPr>
          <w:ilvl w:val="0"/>
          <w:numId w:val="1001"/>
        </w:numPr>
        <w:pStyle w:val="Compact"/>
      </w:pPr>
      <w:r>
        <w:t xml:space="preserve">3.3 黑名单:指因违规、失信等原因被取消合作资格的供应商名录。</w:t>
      </w:r>
    </w:p>
    <w:bookmarkEnd w:id="22"/>
    <w:bookmarkStart w:id="28" w:name="四制度正文"/>
    <w:p>
      <w:pPr>
        <w:pStyle w:val="Heading2"/>
      </w:pPr>
      <w:r>
        <w:t xml:space="preserve">四、制度正文</w:t>
      </w:r>
    </w:p>
    <w:bookmarkStart w:id="23" w:name="准入条件"/>
    <w:p>
      <w:pPr>
        <w:pStyle w:val="Heading3"/>
      </w:pPr>
      <w:r>
        <w:t xml:space="preserve">4.1 准入条件</w:t>
      </w:r>
    </w:p>
    <w:p>
      <w:pPr>
        <w:numPr>
          <w:ilvl w:val="0"/>
          <w:numId w:val="1002"/>
        </w:numPr>
        <w:pStyle w:val="Compact"/>
      </w:pPr>
      <w:r>
        <w:t xml:space="preserve">依法注册登记,持有有效营业执照及相关行业资质;</w:t>
      </w:r>
    </w:p>
    <w:p>
      <w:pPr>
        <w:numPr>
          <w:ilvl w:val="0"/>
          <w:numId w:val="1002"/>
        </w:numPr>
        <w:pStyle w:val="Compact"/>
      </w:pPr>
      <w:r>
        <w:t xml:space="preserve">具备履行合同的质量管理体系与履约能力;</w:t>
      </w:r>
    </w:p>
    <w:p>
      <w:pPr>
        <w:numPr>
          <w:ilvl w:val="0"/>
          <w:numId w:val="1002"/>
        </w:numPr>
        <w:pStyle w:val="Compact"/>
      </w:pPr>
      <w:r>
        <w:t xml:space="preserve">经营信誉良好,无重大违法记录、无失信被执行记录;</w:t>
      </w:r>
    </w:p>
    <w:p>
      <w:pPr>
        <w:numPr>
          <w:ilvl w:val="0"/>
          <w:numId w:val="1002"/>
        </w:numPr>
        <w:pStyle w:val="Compact"/>
      </w:pPr>
      <w:r>
        <w:t xml:space="preserve">涉及特种行业或产品须取得相应许可证(如危化品、食品等);</w:t>
      </w:r>
    </w:p>
    <w:p>
      <w:pPr>
        <w:numPr>
          <w:ilvl w:val="0"/>
          <w:numId w:val="1002"/>
        </w:numPr>
        <w:pStyle w:val="Compact"/>
      </w:pPr>
      <w:r>
        <w:t xml:space="preserve">同意遵守公司供应商管理规定。</w:t>
      </w:r>
    </w:p>
    <w:bookmarkEnd w:id="23"/>
    <w:bookmarkStart w:id="24" w:name="资质审查"/>
    <w:p>
      <w:pPr>
        <w:pStyle w:val="Heading3"/>
      </w:pPr>
      <w:r>
        <w:t xml:space="preserve">4.2 资质审查</w:t>
      </w:r>
    </w:p>
    <w:p>
      <w:pPr>
        <w:numPr>
          <w:ilvl w:val="0"/>
          <w:numId w:val="1003"/>
        </w:numPr>
        <w:pStyle w:val="Compact"/>
      </w:pPr>
      <w:r>
        <w:t xml:space="preserve">供应商须提交营业执照、税务登记、资质证书、产品认证、授权书、财务报表等资料;</w:t>
      </w:r>
    </w:p>
    <w:p>
      <w:pPr>
        <w:numPr>
          <w:ilvl w:val="0"/>
          <w:numId w:val="1003"/>
        </w:numPr>
        <w:pStyle w:val="Compact"/>
      </w:pPr>
      <w:r>
        <w:t xml:space="preserve">采购部组织审查,必要时进行实地考察;</w:t>
      </w:r>
    </w:p>
    <w:p>
      <w:pPr>
        <w:numPr>
          <w:ilvl w:val="0"/>
          <w:numId w:val="1003"/>
        </w:numPr>
        <w:pStyle w:val="Compact"/>
      </w:pPr>
      <w:r>
        <w:t xml:space="preserve">审查通过后录入合格供应商名录。</w:t>
      </w:r>
    </w:p>
    <w:bookmarkEnd w:id="24"/>
    <w:bookmarkStart w:id="25" w:name="评估与分级"/>
    <w:p>
      <w:pPr>
        <w:pStyle w:val="Heading3"/>
      </w:pPr>
      <w:r>
        <w:t xml:space="preserve">4.3 评估与分级</w:t>
      </w:r>
    </w:p>
    <w:p>
      <w:pPr>
        <w:pStyle w:val="FirstParagraph"/>
      </w:pPr>
      <w:r>
        <w:t xml:space="preserve">按质量、交付、价格、服务四项指标(各占25分)进行评分:</w:t>
      </w:r>
      <w:r>
        <w:t xml:space="preserve"> </w:t>
      </w:r>
      <w:r>
        <w:t xml:space="preserve">1. 战略供应商:综合评分90分以上,列入战略合作范围;</w:t>
      </w:r>
      <w:r>
        <w:t xml:space="preserve"> </w:t>
      </w:r>
      <w:r>
        <w:t xml:space="preserve">2. 合格供应商:综合评分75-89分,可正常合作;</w:t>
      </w:r>
      <w:r>
        <w:t xml:space="preserve"> </w:t>
      </w:r>
      <w:r>
        <w:t xml:space="preserve">3. 试用供应商:首次合作或综合评分60-74分,限定项目试用;</w:t>
      </w:r>
      <w:r>
        <w:t xml:space="preserve"> </w:t>
      </w:r>
      <w:r>
        <w:t xml:space="preserve">4. 黑名单:评分60分以下或发生严重违规的,列入黑名单。</w:t>
      </w:r>
    </w:p>
    <w:bookmarkEnd w:id="25"/>
    <w:bookmarkStart w:id="26" w:name="年度复评"/>
    <w:p>
      <w:pPr>
        <w:pStyle w:val="Heading3"/>
      </w:pPr>
      <w:r>
        <w:t xml:space="preserve">4.4 年度复评</w:t>
      </w:r>
    </w:p>
    <w:p>
      <w:pPr>
        <w:numPr>
          <w:ilvl w:val="0"/>
          <w:numId w:val="1004"/>
        </w:numPr>
        <w:pStyle w:val="Compact"/>
      </w:pPr>
      <w:r>
        <w:t xml:space="preserve">每年12月对供应商进行年度复评;</w:t>
      </w:r>
    </w:p>
    <w:p>
      <w:pPr>
        <w:numPr>
          <w:ilvl w:val="0"/>
          <w:numId w:val="1004"/>
        </w:numPr>
        <w:pStyle w:val="Compact"/>
      </w:pPr>
      <w:r>
        <w:t xml:space="preserve">复评依据当年合作的质量、交付、价格、服务记录;</w:t>
      </w:r>
    </w:p>
    <w:p>
      <w:pPr>
        <w:numPr>
          <w:ilvl w:val="0"/>
          <w:numId w:val="1004"/>
        </w:numPr>
        <w:pStyle w:val="Compact"/>
      </w:pPr>
      <w:r>
        <w:t xml:space="preserve">复评结果作为下一年度合作与订单分配的依据。</w:t>
      </w:r>
    </w:p>
    <w:bookmarkEnd w:id="26"/>
    <w:bookmarkStart w:id="27" w:name="黑名单处理"/>
    <w:p>
      <w:pPr>
        <w:pStyle w:val="Heading3"/>
      </w:pPr>
      <w:r>
        <w:t xml:space="preserve">4.5 黑名单处理</w:t>
      </w:r>
    </w:p>
    <w:p>
      <w:pPr>
        <w:numPr>
          <w:ilvl w:val="0"/>
          <w:numId w:val="1005"/>
        </w:numPr>
        <w:pStyle w:val="Compact"/>
      </w:pPr>
      <w:r>
        <w:t xml:space="preserve">供应商出现下列情形之一,列入黑名单:</w:t>
      </w:r>
    </w:p>
    <w:p>
      <w:pPr>
        <w:numPr>
          <w:ilvl w:val="1"/>
          <w:numId w:val="1006"/>
        </w:numPr>
        <w:pStyle w:val="Compact"/>
      </w:pPr>
      <w:r>
        <w:t xml:space="preserve">发生重大质量问题且拒不整改或造成重大损失的;</w:t>
      </w:r>
    </w:p>
    <w:p>
      <w:pPr>
        <w:numPr>
          <w:ilvl w:val="1"/>
          <w:numId w:val="1006"/>
        </w:numPr>
        <w:pStyle w:val="Compact"/>
      </w:pPr>
      <w:r>
        <w:t xml:space="preserve">行贿、商业贿赂或弄虚作假的;</w:t>
      </w:r>
    </w:p>
    <w:p>
      <w:pPr>
        <w:numPr>
          <w:ilvl w:val="1"/>
          <w:numId w:val="1006"/>
        </w:numPr>
        <w:pStyle w:val="Compact"/>
      </w:pPr>
      <w:r>
        <w:t xml:space="preserve">被列入失信被执行人或被吊销证照的;</w:t>
      </w:r>
    </w:p>
    <w:p>
      <w:pPr>
        <w:numPr>
          <w:ilvl w:val="1"/>
          <w:numId w:val="1006"/>
        </w:numPr>
        <w:pStyle w:val="Compact"/>
      </w:pPr>
      <w:r>
        <w:t xml:space="preserve">违反合同约定,情节恶劣的。</w:t>
      </w:r>
    </w:p>
    <w:p>
      <w:pPr>
        <w:numPr>
          <w:ilvl w:val="0"/>
          <w:numId w:val="1005"/>
        </w:numPr>
        <w:pStyle w:val="Compact"/>
      </w:pPr>
      <w:r>
        <w:t xml:space="preserve">列入黑名单的供应商,取消合作资格,3年内不得重新合作;</w:t>
      </w:r>
    </w:p>
    <w:p>
      <w:pPr>
        <w:numPr>
          <w:ilvl w:val="0"/>
          <w:numId w:val="1005"/>
        </w:numPr>
        <w:pStyle w:val="Compact"/>
      </w:pPr>
      <w:r>
        <w:t xml:space="preserve">采购部建立黑名单台账,并在公司内共享。</w:t>
      </w:r>
    </w:p>
    <w:bookmarkEnd w:id="27"/>
    <w:bookmarkEnd w:id="28"/>
    <w:bookmarkStart w:id="29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供应商管理流程:</w:t>
      </w:r>
      <w:r>
        <w:br/>
      </w:r>
      <w:r>
        <w:rPr>
          <w:rStyle w:val="VerbatimChar"/>
        </w:rPr>
        <w:t xml:space="preserve">① 供应商申请/寻源</w:t>
      </w:r>
      <w:r>
        <w:br/>
      </w:r>
      <w:r>
        <w:rPr>
          <w:rStyle w:val="VerbatimChar"/>
        </w:rPr>
        <w:t xml:space="preserve">② 资质审查(资料+考察)</w:t>
      </w:r>
      <w:r>
        <w:br/>
      </w:r>
      <w:r>
        <w:rPr>
          <w:rStyle w:val="VerbatimChar"/>
        </w:rPr>
        <w:t xml:space="preserve">③ 录入合格供应商名录</w:t>
      </w:r>
      <w:r>
        <w:br/>
      </w:r>
      <w:r>
        <w:rPr>
          <w:rStyle w:val="VerbatimChar"/>
        </w:rPr>
        <w:t xml:space="preserve">④ 合作(采购、交付、验收)</w:t>
      </w:r>
      <w:r>
        <w:br/>
      </w:r>
      <w:r>
        <w:rPr>
          <w:rStyle w:val="VerbatimChar"/>
        </w:rPr>
        <w:t xml:space="preserve">⑤ 定期评估与年度复评</w:t>
      </w:r>
      <w:r>
        <w:br/>
      </w:r>
      <w:r>
        <w:rPr>
          <w:rStyle w:val="VerbatimChar"/>
        </w:rPr>
        <w:t xml:space="preserve">⑥ 分级管理(战略/合格/试用/黑名单)</w:t>
      </w:r>
    </w:p>
    <w:bookmarkEnd w:id="29"/>
    <w:bookmarkStart w:id="30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7"/>
        </w:numPr>
        <w:pStyle w:val="Compact"/>
      </w:pPr>
      <w:r>
        <w:t xml:space="preserve">6.1 采购部负责供应商开发、评估与台账管理。</w:t>
      </w:r>
    </w:p>
    <w:p>
      <w:pPr>
        <w:numPr>
          <w:ilvl w:val="0"/>
          <w:numId w:val="1007"/>
        </w:numPr>
        <w:pStyle w:val="Compact"/>
      </w:pPr>
      <w:r>
        <w:t xml:space="preserve">6.2 质量部参与质量审查与质量事故认定。</w:t>
      </w:r>
    </w:p>
    <w:p>
      <w:pPr>
        <w:numPr>
          <w:ilvl w:val="0"/>
          <w:numId w:val="1007"/>
        </w:numPr>
        <w:pStyle w:val="Compact"/>
      </w:pPr>
      <w:r>
        <w:t xml:space="preserve">6.3 对收受贿赂、与供应商串通的员工,依《奖惩管理制度》严肃处理。</w:t>
      </w:r>
    </w:p>
    <w:bookmarkEnd w:id="30"/>
    <w:bookmarkStart w:id="31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8"/>
        </w:numPr>
        <w:pStyle w:val="Compact"/>
      </w:pPr>
      <w:r>
        <w:t xml:space="preserve">7.1 本制度由采购部负责解释与修订。</w:t>
      </w:r>
    </w:p>
    <w:p>
      <w:pPr>
        <w:numPr>
          <w:ilvl w:val="0"/>
          <w:numId w:val="1008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8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8"/>
        </w:numPr>
        <w:pStyle w:val="Compact"/>
      </w:pPr>
      <w:r>
        <w:t xml:space="preserve">7.4 本制度为演示用示例制度,不构成法律文件。</w:t>
      </w:r>
    </w:p>
    <w:bookmarkEnd w:id="31"/>
    <w:bookmarkStart w:id="32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9"/>
        </w:numPr>
        <w:pStyle w:val="Compact"/>
      </w:pPr>
      <w:r>
        <w:t xml:space="preserve">Q1:合格供应商需要哪些条件?A1:有效营业执照、相关资质、质量体系与良好信用等(见本制度4.1条)。</w:t>
      </w:r>
    </w:p>
    <w:p>
      <w:pPr>
        <w:numPr>
          <w:ilvl w:val="0"/>
          <w:numId w:val="1009"/>
        </w:numPr>
        <w:pStyle w:val="Compact"/>
      </w:pPr>
      <w:r>
        <w:t xml:space="preserve">Q2:供应商分级有哪些?A2:战略、合格、试用、黑名单四类(见本制度4.3条)。</w:t>
      </w:r>
    </w:p>
    <w:p>
      <w:pPr>
        <w:numPr>
          <w:ilvl w:val="0"/>
          <w:numId w:val="1009"/>
        </w:numPr>
        <w:pStyle w:val="Compact"/>
      </w:pPr>
      <w:r>
        <w:t xml:space="preserve">Q3:什么情况列入黑名单?A3:重大质量问题、商业贿赂、失信被执行等情形(见本制度4.5.1条)。</w:t>
      </w:r>
    </w:p>
    <w:p>
      <w:pPr>
        <w:numPr>
          <w:ilvl w:val="0"/>
          <w:numId w:val="1009"/>
        </w:numPr>
        <w:pStyle w:val="Compact"/>
      </w:pPr>
      <w:r>
        <w:t xml:space="preserve">Q4:黑名单供应商多久内不得合作?A4:取消合作资格,3年内不得重新合作(见本制度4.5.2条)。</w:t>
      </w:r>
    </w:p>
    <w:p>
      <w:pPr>
        <w:numPr>
          <w:ilvl w:val="0"/>
          <w:numId w:val="1009"/>
        </w:numPr>
        <w:pStyle w:val="Compact"/>
      </w:pPr>
      <w:r>
        <w:t xml:space="preserve">Q5:供应商评估看哪些指标?A5:质量、交付、价格、服务四项指标,各占25分(见本制度4.3条)。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2026-08-08T04:22:48Z</dcterms:created>
  <dcterms:modified xsi:type="dcterms:W3CDTF">2026-08-08T04:22:48Z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