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color w:val="1F4E79"/>
          <w:sz w:val="36"/>
        </w:rPr>
        <w:t>Analysing US Stock Return Predictions</w:t>
        <w:br/>
        <w:t>Using Fundamental Data and Interpretable Machine Learning</w:t>
      </w:r>
    </w:p>
    <w:p>
      <w:pPr>
        <w:spacing w:after="240"/>
        <w:jc w:val="center"/>
      </w:pPr>
      <w:r>
        <w:rPr>
          <w:rFonts w:ascii="Times New Roman" w:hAnsi="Times New Roman"/>
          <w:i/>
          <w:sz w:val="24"/>
        </w:rPr>
        <w:t>Revised Dissertation Proposal</w:t>
      </w:r>
    </w:p>
    <w:p>
      <w:pPr>
        <w:pStyle w:val="Heading1"/>
        <w:spacing w:before="120" w:after="80"/>
      </w:pPr>
      <w:r>
        <w:rPr>
          <w:rFonts w:ascii="Times New Roman" w:hAnsi="Times New Roman"/>
          <w:color w:val="1F4E79"/>
          <w:sz w:val="28"/>
        </w:rPr>
        <w:t>Abstract</w:t>
      </w:r>
    </w:p>
    <w:p>
      <w:pPr>
        <w:spacing w:after="120" w:line="259" w:lineRule="auto"/>
      </w:pPr>
      <w:r>
        <w:rPr>
          <w:rFonts w:ascii="Times New Roman" w:hAnsi="Times New Roman"/>
          <w:sz w:val="22"/>
        </w:rPr>
        <w:t>This dissertation investigates whether interpretable machine learning models can improve the prediction and explanation of future US stock returns using firm-level fundamental data. The project adopts a fundamental-analysis direction: historical accounting and market variables will be collected primarily from Bloomberg Terminal through university access, then transformed into a monthly stock-level panel dataset. Particular attention will be paid to data quality, survivorship bias, missing values, financial reporting lags, and date alignment, because these issues directly affect the validity of any prediction exercise in equity markets.</w:t>
      </w:r>
    </w:p>
    <w:p>
      <w:pPr>
        <w:spacing w:after="120" w:line="259" w:lineRule="auto"/>
      </w:pPr>
      <w:r>
        <w:rPr>
          <w:rFonts w:ascii="Times New Roman" w:hAnsi="Times New Roman"/>
          <w:sz w:val="22"/>
        </w:rPr>
        <w:t>The empirical study will compare Ordinary Least Squares (OLS), Random Forest, and XGBoost within a unified walk-forward evaluation framework. To make the experimental results more rigorous, stochastic models will be run under multiple random seeds and their performance will be reported using statistical summaries and, where appropriate, paired significance tests or bootstrap confidence intervals. The project will also use SHAP (SHapley Additive exPlanations) to analyse which fundamental and price-derived indicators contribute most strongly to model predictions. The intended contribution is not to develop a new algorithm, but to produce a careful, reproducible, and interpretable machine-learning pipeline for stock return prediction using realistic Bloomberg financial data.</w:t>
      </w:r>
    </w:p>
    <w:p>
      <w:pPr>
        <w:pStyle w:val="Heading1"/>
        <w:spacing w:before="120" w:after="80"/>
      </w:pPr>
      <w:r>
        <w:rPr>
          <w:rFonts w:ascii="Times New Roman" w:hAnsi="Times New Roman"/>
          <w:color w:val="1F4E79"/>
          <w:sz w:val="28"/>
        </w:rPr>
        <w:t>1. Background Information and Literature Review</w:t>
      </w:r>
    </w:p>
    <w:p>
      <w:pPr>
        <w:spacing w:after="120" w:line="259" w:lineRule="auto"/>
      </w:pPr>
      <w:r>
        <w:rPr>
          <w:rFonts w:ascii="Times New Roman" w:hAnsi="Times New Roman"/>
          <w:sz w:val="22"/>
        </w:rPr>
        <w:t>Predicting stock returns is a long-standing challenge in quantitative finance because market prices are noisy, non-stationary, and influenced by both firm-specific and macroeconomic information. Traditional linear models remain useful as transparent baselines, but they may struggle to capture non-linear interactions among valuation, profitability, leverage, liquidity, cash-flow, and price-momentum variables. Modern machine learning methods such as Random Forest and gradient-boosted trees can model such interactions more flexibly, but their greater complexity creates a need for systematic interpretation.</w:t>
      </w:r>
    </w:p>
    <w:p>
      <w:pPr>
        <w:spacing w:after="120" w:line="259" w:lineRule="auto"/>
      </w:pPr>
      <w:r>
        <w:rPr>
          <w:rFonts w:ascii="Times New Roman" w:hAnsi="Times New Roman"/>
          <w:sz w:val="22"/>
        </w:rPr>
        <w:t>This proposal follows a fundamental-analysis approach. Rather than focusing only on short-term price patterns or statistical arbitrage, the project will use company-level accounting and market indicators, including revenue or profit-related measures, earnings per share, leverage, liquidity, current assets or current ratio, and operating or free cash-flow variables. These indicators are relevant because they provide information about a firm’s profitability, financial stability, balance-sheet strength, and ability to generate future cash flows. Price-derived features such as momentum and volatility will be included as complementary signals, but the main empirical focus will be on whether fundamental variables help machine learning models produce interpretable stock-return predictions.</w:t>
      </w:r>
    </w:p>
    <w:p>
      <w:pPr>
        <w:spacing w:after="120" w:line="259" w:lineRule="auto"/>
      </w:pPr>
      <w:r>
        <w:rPr>
          <w:rFonts w:ascii="Times New Roman" w:hAnsi="Times New Roman"/>
          <w:sz w:val="22"/>
        </w:rPr>
        <w:t>A major practical challenge is that real equity datasets are vulnerable to bias. For example, using only the current members of the S&amp;P 500 may introduce survivorship bias, because companies that were removed from the index, merged, delisted, or failed may be excluded from the analysis. This can make results appear stronger than they really are. Therefore, the project will attempt to collect data for both current and historical S&amp;P 500 constituents where Bloomberg access permits. If full historical constituent data cannot be obtained, the limitation will be explicitly documented and tested as a source of bias.</w:t>
      </w:r>
    </w:p>
    <w:p>
      <w:pPr>
        <w:spacing w:after="120" w:line="259" w:lineRule="auto"/>
      </w:pPr>
      <w:r>
        <w:rPr>
          <w:rFonts w:ascii="Times New Roman" w:hAnsi="Times New Roman"/>
          <w:sz w:val="22"/>
        </w:rPr>
        <w:t>Previous work has shown that machine learning can be useful in empirical asset pricing, but model performance alone is insufficient for a high-quality applied dissertation. Financial users often require explanations for why a model assigns high or low predicted returns to particular firms. Explainable Artificial Intelligence (XAI), especially SHAP, provides a way to quantify each feature’s contribution to predictions. This dissertation therefore combines three elements: a carefully constructed Bloomberg-based dataset, a rigorous modelling and validation framework, and a post-hoc explanation analysis that links model outputs back to economically meaningful fundamental indicators.</w:t>
      </w:r>
    </w:p>
    <w:p>
      <w:pPr>
        <w:pStyle w:val="Heading1"/>
        <w:spacing w:before="120" w:after="80"/>
      </w:pPr>
      <w:r>
        <w:rPr>
          <w:rFonts w:ascii="Times New Roman" w:hAnsi="Times New Roman"/>
          <w:color w:val="1F4E79"/>
          <w:sz w:val="28"/>
        </w:rPr>
        <w:t>2. Research Aim, Questions, and Hypotheses</w:t>
      </w:r>
    </w:p>
    <w:p>
      <w:pPr>
        <w:spacing w:after="120" w:line="259" w:lineRule="auto"/>
      </w:pPr>
      <w:r>
        <w:rPr>
          <w:rFonts w:ascii="Times New Roman" w:hAnsi="Times New Roman"/>
          <w:sz w:val="22"/>
        </w:rPr>
        <w:t>The overall aim is to evaluate whether interpretable machine learning methods can produce reliable and economically meaningful predictions of next-month US stock returns using Bloomberg fundamental and market data.</w:t>
      </w:r>
    </w:p>
    <w:p>
      <w:pPr>
        <w:pStyle w:val="Heading2"/>
        <w:spacing w:before="60" w:after="80"/>
      </w:pPr>
      <w:r>
        <w:rPr>
          <w:rFonts w:ascii="Times New Roman" w:hAnsi="Times New Roman"/>
          <w:color w:val="1F4E79"/>
          <w:sz w:val="24"/>
        </w:rPr>
        <w:t>2.1 Research Objectives</w:t>
      </w:r>
    </w:p>
    <w:p>
      <w:pPr>
        <w:spacing w:after="60" w:line="259" w:lineRule="auto"/>
        <w:ind w:left="403" w:hanging="403"/>
      </w:pPr>
      <w:r>
        <w:rPr>
          <w:rFonts w:ascii="Times New Roman" w:hAnsi="Times New Roman"/>
          <w:sz w:val="22"/>
        </w:rPr>
        <w:t>1.   Construct a clean monthly panel dataset of US equities using Bloomberg Terminal data, with clear documentation of ticker coverage, date alignment, missing values, and data-cleaning decisions.</w:t>
      </w:r>
    </w:p>
    <w:p>
      <w:pPr>
        <w:spacing w:after="60" w:line="259" w:lineRule="auto"/>
        <w:ind w:left="403" w:hanging="403"/>
      </w:pPr>
      <w:r>
        <w:rPr>
          <w:rFonts w:ascii="Times New Roman" w:hAnsi="Times New Roman"/>
          <w:sz w:val="22"/>
        </w:rPr>
        <w:t>2.   Reduce key sources of bias, especially look-ahead bias and survivorship bias, through conservative feature timing, historical-constituent collection where feasible, and transparent limitation reporting.</w:t>
      </w:r>
    </w:p>
    <w:p>
      <w:pPr>
        <w:spacing w:after="60" w:line="259" w:lineRule="auto"/>
        <w:ind w:left="403" w:hanging="403"/>
      </w:pPr>
      <w:r>
        <w:rPr>
          <w:rFonts w:ascii="Times New Roman" w:hAnsi="Times New Roman"/>
          <w:sz w:val="22"/>
        </w:rPr>
        <w:t>3.   Implement OLS, Random Forest, and XGBoost models using a reproducible Python-based pipeline.</w:t>
      </w:r>
    </w:p>
    <w:p>
      <w:pPr>
        <w:spacing w:after="60" w:line="259" w:lineRule="auto"/>
        <w:ind w:left="403" w:hanging="403"/>
      </w:pPr>
      <w:r>
        <w:rPr>
          <w:rFonts w:ascii="Times New Roman" w:hAnsi="Times New Roman"/>
          <w:sz w:val="22"/>
        </w:rPr>
        <w:t>4.   Evaluate predictive performance using walk-forward validation, repeated runs for stochastic models, and statistical summaries or significance tests.</w:t>
      </w:r>
    </w:p>
    <w:p>
      <w:pPr>
        <w:spacing w:after="60" w:line="259" w:lineRule="auto"/>
        <w:ind w:left="403" w:hanging="403"/>
      </w:pPr>
      <w:r>
        <w:rPr>
          <w:rFonts w:ascii="Times New Roman" w:hAnsi="Times New Roman"/>
          <w:sz w:val="22"/>
        </w:rPr>
        <w:t>5.   Interpret model behaviour using SHAP and assess whether important features have plausible financial explanations.</w:t>
      </w:r>
    </w:p>
    <w:p>
      <w:pPr>
        <w:pStyle w:val="Heading2"/>
        <w:spacing w:before="60" w:after="80"/>
      </w:pPr>
      <w:r>
        <w:rPr>
          <w:rFonts w:ascii="Times New Roman" w:hAnsi="Times New Roman"/>
          <w:color w:val="1F4E79"/>
          <w:sz w:val="24"/>
        </w:rPr>
        <w:t>2.2 Research Questions</w:t>
      </w:r>
    </w:p>
    <w:p>
      <w:pPr>
        <w:pStyle w:val="ListBullet"/>
        <w:spacing w:after="60" w:line="259" w:lineRule="auto"/>
      </w:pPr>
      <w:r>
        <w:rPr>
          <w:rFonts w:ascii="Times New Roman" w:hAnsi="Times New Roman"/>
          <w:sz w:val="22"/>
        </w:rPr>
        <w:t>RQ1: Do tree-based machine learning models outperform a traditional OLS baseline in predicting next-month US stock returns out of sample?</w:t>
      </w:r>
    </w:p>
    <w:p>
      <w:pPr>
        <w:pStyle w:val="ListBullet"/>
        <w:spacing w:after="60" w:line="259" w:lineRule="auto"/>
      </w:pPr>
      <w:r>
        <w:rPr>
          <w:rFonts w:ascii="Times New Roman" w:hAnsi="Times New Roman"/>
          <w:sz w:val="22"/>
        </w:rPr>
        <w:t>RQ2: Which fundamental and price-derived indicators contribute most strongly to stock-return predictions?</w:t>
      </w:r>
    </w:p>
    <w:p>
      <w:pPr>
        <w:pStyle w:val="ListBullet"/>
        <w:spacing w:after="60" w:line="259" w:lineRule="auto"/>
      </w:pPr>
      <w:r>
        <w:rPr>
          <w:rFonts w:ascii="Times New Roman" w:hAnsi="Times New Roman"/>
          <w:sz w:val="22"/>
        </w:rPr>
        <w:t>RQ3: How stable are model performance and feature-importance patterns across different random seeds and evaluation periods?</w:t>
      </w:r>
    </w:p>
    <w:p>
      <w:pPr>
        <w:pStyle w:val="ListBullet"/>
        <w:spacing w:after="60" w:line="259" w:lineRule="auto"/>
      </w:pPr>
      <w:r>
        <w:rPr>
          <w:rFonts w:ascii="Times New Roman" w:hAnsi="Times New Roman"/>
          <w:sz w:val="22"/>
        </w:rPr>
        <w:t>RQ4: How does increasing model complexity affect the trade-off between predictive performance and interpretability?</w:t>
      </w:r>
    </w:p>
    <w:p>
      <w:pPr>
        <w:pStyle w:val="Heading2"/>
        <w:spacing w:before="60" w:after="80"/>
      </w:pPr>
      <w:r>
        <w:rPr>
          <w:rFonts w:ascii="Times New Roman" w:hAnsi="Times New Roman"/>
          <w:color w:val="1F4E79"/>
          <w:sz w:val="24"/>
        </w:rPr>
        <w:t>2.3 Research Hypotheses</w:t>
      </w:r>
    </w:p>
    <w:p>
      <w:pPr>
        <w:pStyle w:val="ListBullet"/>
        <w:spacing w:after="60" w:line="259" w:lineRule="auto"/>
      </w:pPr>
      <w:r>
        <w:rPr>
          <w:rFonts w:ascii="Times New Roman" w:hAnsi="Times New Roman"/>
          <w:sz w:val="22"/>
        </w:rPr>
        <w:t>H1: Random Forest and XGBoost will achieve better out-of-sample performance than OLS because they can capture non-linear relationships and feature interactions.</w:t>
      </w:r>
    </w:p>
    <w:p>
      <w:pPr>
        <w:pStyle w:val="ListBullet"/>
        <w:spacing w:after="60" w:line="259" w:lineRule="auto"/>
      </w:pPr>
      <w:r>
        <w:rPr>
          <w:rFonts w:ascii="Times New Roman" w:hAnsi="Times New Roman"/>
          <w:sz w:val="22"/>
        </w:rPr>
        <w:t>H2: Fundamental indicators related to profitability, leverage, liquidity, valuation, and cash flow will appear among the most influential predictors in SHAP-based explanations.</w:t>
      </w:r>
    </w:p>
    <w:p>
      <w:pPr>
        <w:pStyle w:val="ListBullet"/>
        <w:spacing w:after="60" w:line="259" w:lineRule="auto"/>
      </w:pPr>
      <w:r>
        <w:rPr>
          <w:rFonts w:ascii="Times New Roman" w:hAnsi="Times New Roman"/>
          <w:sz w:val="22"/>
        </w:rPr>
        <w:t>H3: More complex models may improve predictive accuracy, but their advantage should be assessed through repeated experiments and statistical evidence rather than a single model run.</w:t>
      </w:r>
    </w:p>
    <w:p>
      <w:pPr>
        <w:pStyle w:val="ListBullet"/>
        <w:spacing w:after="60" w:line="259" w:lineRule="auto"/>
      </w:pPr>
      <w:r>
        <w:rPr>
          <w:rFonts w:ascii="Times New Roman" w:hAnsi="Times New Roman"/>
          <w:sz w:val="22"/>
        </w:rPr>
        <w:t>H4: If the model is robust, the highest-ranked features should remain broadly stable across random seeds and adjacent walk-forward periods.</w:t>
      </w:r>
    </w:p>
    <w:p>
      <w:pPr>
        <w:pStyle w:val="Heading1"/>
        <w:spacing w:before="120" w:after="80"/>
      </w:pPr>
      <w:r>
        <w:rPr>
          <w:rFonts w:ascii="Times New Roman" w:hAnsi="Times New Roman"/>
          <w:color w:val="1F4E79"/>
          <w:sz w:val="28"/>
        </w:rPr>
        <w:t>3. Methodology</w:t>
      </w:r>
    </w:p>
    <w:p>
      <w:pPr>
        <w:pStyle w:val="Heading2"/>
        <w:spacing w:before="60" w:after="80"/>
      </w:pPr>
      <w:r>
        <w:rPr>
          <w:rFonts w:ascii="Times New Roman" w:hAnsi="Times New Roman"/>
          <w:color w:val="1F4E79"/>
          <w:sz w:val="24"/>
        </w:rPr>
        <w:t>3.1 Data Collection and Target Population</w:t>
      </w:r>
    </w:p>
    <w:p>
      <w:pPr>
        <w:spacing w:after="120" w:line="259" w:lineRule="auto"/>
      </w:pPr>
      <w:r>
        <w:rPr>
          <w:rFonts w:ascii="Times New Roman" w:hAnsi="Times New Roman"/>
          <w:sz w:val="22"/>
        </w:rPr>
        <w:t>The empirical sample will focus on companies that are current or historical constituents of the US S&amp;P 500 index over the available study period, expected to cover approximately 2016 to 2026 subject to Bloomberg availability. The principal data source will be Bloomberg Terminal through university access. This revision replaces the earlier emphasis on general public data sources with a clearer Bloomberg-based data strategy, because the project requires firm-level financial-statement and market variables that are more consistently available through Bloomberg.</w:t>
      </w:r>
    </w:p>
    <w:p>
      <w:pPr>
        <w:spacing w:after="120" w:line="259" w:lineRule="auto"/>
      </w:pPr>
      <w:r>
        <w:rPr>
          <w:rFonts w:ascii="Times New Roman" w:hAnsi="Times New Roman"/>
          <w:sz w:val="22"/>
        </w:rPr>
        <w:t>The raw Bloomberg export will be treated as the starting point of the data-engineering pipeline rather than as a ready-to-model dataset. The project will record Bloomberg field names, ticker identifiers, extraction dates, coverage limitations, missing-value patterns, and any manual steps required to refresh or export data from the terminal. The final modelling dataset will be a long-format panel in which each row represents one firm-month observation.</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fill="D9EAF7"/>
            <w:vAlign w:val="center"/>
          </w:tcPr>
          <w:p>
            <w:pPr>
              <w:spacing w:after="0"/>
            </w:pPr>
            <w:r/>
            <w:r>
              <w:rPr>
                <w:rFonts w:ascii="Times New Roman" w:hAnsi="Times New Roman"/>
                <w:b/>
                <w:sz w:val="20"/>
              </w:rPr>
              <w:t>Feature Group</w:t>
            </w:r>
          </w:p>
        </w:tc>
        <w:tc>
          <w:tcPr>
            <w:tcW w:type="dxa" w:w="3888"/>
            <w:shd w:fill="D9EAF7"/>
            <w:vAlign w:val="center"/>
          </w:tcPr>
          <w:p>
            <w:pPr>
              <w:spacing w:after="0"/>
            </w:pPr>
            <w:r/>
            <w:r>
              <w:rPr>
                <w:rFonts w:ascii="Times New Roman" w:hAnsi="Times New Roman"/>
                <w:b/>
                <w:sz w:val="20"/>
              </w:rPr>
              <w:t>Example Variables</w:t>
            </w:r>
          </w:p>
        </w:tc>
        <w:tc>
          <w:tcPr>
            <w:tcW w:type="dxa" w:w="3600"/>
            <w:shd w:fill="D9EAF7"/>
            <w:vAlign w:val="center"/>
          </w:tcPr>
          <w:p>
            <w:pPr>
              <w:spacing w:after="0"/>
            </w:pPr>
            <w:r/>
            <w:r>
              <w:rPr>
                <w:rFonts w:ascii="Times New Roman" w:hAnsi="Times New Roman"/>
                <w:b/>
                <w:sz w:val="20"/>
              </w:rPr>
              <w:t>Purpose</w:t>
            </w:r>
          </w:p>
        </w:tc>
      </w:tr>
      <w:tr>
        <w:tc>
          <w:tcPr>
            <w:tcW w:type="dxa" w:w="2160"/>
            <w:vAlign w:val="top"/>
          </w:tcPr>
          <w:p>
            <w:pPr>
              <w:spacing w:after="0"/>
            </w:pPr>
            <w:r/>
            <w:r>
              <w:rPr>
                <w:rFonts w:ascii="Times New Roman" w:hAnsi="Times New Roman"/>
                <w:b w:val="0"/>
                <w:sz w:val="20"/>
              </w:rPr>
              <w:t>Market variables</w:t>
            </w:r>
          </w:p>
        </w:tc>
        <w:tc>
          <w:tcPr>
            <w:tcW w:type="dxa" w:w="3888"/>
            <w:vAlign w:val="top"/>
          </w:tcPr>
          <w:p>
            <w:pPr>
              <w:spacing w:after="0"/>
            </w:pPr>
            <w:r/>
            <w:r>
              <w:rPr>
                <w:rFonts w:ascii="Times New Roman" w:hAnsi="Times New Roman"/>
                <w:b w:val="0"/>
                <w:sz w:val="20"/>
              </w:rPr>
              <w:t>Adjusted or closing price, market capitalisation, trading volume where available</w:t>
            </w:r>
          </w:p>
        </w:tc>
        <w:tc>
          <w:tcPr>
            <w:tcW w:type="dxa" w:w="3600"/>
            <w:vAlign w:val="top"/>
          </w:tcPr>
          <w:p>
            <w:pPr>
              <w:spacing w:after="0"/>
            </w:pPr>
            <w:r/>
            <w:r>
              <w:rPr>
                <w:rFonts w:ascii="Times New Roman" w:hAnsi="Times New Roman"/>
                <w:b w:val="0"/>
                <w:sz w:val="20"/>
              </w:rPr>
              <w:t>Return construction, size, and liquidity context</w:t>
            </w:r>
          </w:p>
        </w:tc>
      </w:tr>
      <w:tr>
        <w:tc>
          <w:tcPr>
            <w:tcW w:type="dxa" w:w="2160"/>
            <w:vAlign w:val="top"/>
          </w:tcPr>
          <w:p>
            <w:pPr>
              <w:spacing w:after="0"/>
            </w:pPr>
            <w:r/>
            <w:r>
              <w:rPr>
                <w:rFonts w:ascii="Times New Roman" w:hAnsi="Times New Roman"/>
                <w:b w:val="0"/>
                <w:sz w:val="20"/>
              </w:rPr>
              <w:t>Valuation</w:t>
            </w:r>
          </w:p>
        </w:tc>
        <w:tc>
          <w:tcPr>
            <w:tcW w:type="dxa" w:w="3888"/>
            <w:vAlign w:val="top"/>
          </w:tcPr>
          <w:p>
            <w:pPr>
              <w:spacing w:after="0"/>
            </w:pPr>
            <w:r/>
            <w:r>
              <w:rPr>
                <w:rFonts w:ascii="Times New Roman" w:hAnsi="Times New Roman"/>
                <w:b w:val="0"/>
                <w:sz w:val="20"/>
              </w:rPr>
              <w:t>P/E ratio and related valuation fields</w:t>
            </w:r>
          </w:p>
        </w:tc>
        <w:tc>
          <w:tcPr>
            <w:tcW w:type="dxa" w:w="3600"/>
            <w:vAlign w:val="top"/>
          </w:tcPr>
          <w:p>
            <w:pPr>
              <w:spacing w:after="0"/>
            </w:pPr>
            <w:r/>
            <w:r>
              <w:rPr>
                <w:rFonts w:ascii="Times New Roman" w:hAnsi="Times New Roman"/>
                <w:b w:val="0"/>
                <w:sz w:val="20"/>
              </w:rPr>
              <w:t>Whether expensive or cheap firms show different future returns</w:t>
            </w:r>
          </w:p>
        </w:tc>
      </w:tr>
      <w:tr>
        <w:tc>
          <w:tcPr>
            <w:tcW w:type="dxa" w:w="2160"/>
            <w:vAlign w:val="top"/>
          </w:tcPr>
          <w:p>
            <w:pPr>
              <w:spacing w:after="0"/>
            </w:pPr>
            <w:r/>
            <w:r>
              <w:rPr>
                <w:rFonts w:ascii="Times New Roman" w:hAnsi="Times New Roman"/>
                <w:b w:val="0"/>
                <w:sz w:val="20"/>
              </w:rPr>
              <w:t>Profitability</w:t>
            </w:r>
          </w:p>
        </w:tc>
        <w:tc>
          <w:tcPr>
            <w:tcW w:type="dxa" w:w="3888"/>
            <w:vAlign w:val="top"/>
          </w:tcPr>
          <w:p>
            <w:pPr>
              <w:spacing w:after="0"/>
            </w:pPr>
            <w:r/>
            <w:r>
              <w:rPr>
                <w:rFonts w:ascii="Times New Roman" w:hAnsi="Times New Roman"/>
                <w:b w:val="0"/>
                <w:sz w:val="20"/>
              </w:rPr>
              <w:t>Return on assets, return on equity, income/profit-related variables</w:t>
            </w:r>
          </w:p>
        </w:tc>
        <w:tc>
          <w:tcPr>
            <w:tcW w:type="dxa" w:w="3600"/>
            <w:vAlign w:val="top"/>
          </w:tcPr>
          <w:p>
            <w:pPr>
              <w:spacing w:after="0"/>
            </w:pPr>
            <w:r/>
            <w:r>
              <w:rPr>
                <w:rFonts w:ascii="Times New Roman" w:hAnsi="Times New Roman"/>
                <w:b w:val="0"/>
                <w:sz w:val="20"/>
              </w:rPr>
              <w:t>Operational strength and firm quality</w:t>
            </w:r>
          </w:p>
        </w:tc>
      </w:tr>
      <w:tr>
        <w:tc>
          <w:tcPr>
            <w:tcW w:type="dxa" w:w="2160"/>
            <w:vAlign w:val="top"/>
          </w:tcPr>
          <w:p>
            <w:pPr>
              <w:spacing w:after="0"/>
            </w:pPr>
            <w:r/>
            <w:r>
              <w:rPr>
                <w:rFonts w:ascii="Times New Roman" w:hAnsi="Times New Roman"/>
                <w:b w:val="0"/>
                <w:sz w:val="20"/>
              </w:rPr>
              <w:t>Earnings</w:t>
            </w:r>
          </w:p>
        </w:tc>
        <w:tc>
          <w:tcPr>
            <w:tcW w:type="dxa" w:w="3888"/>
            <w:vAlign w:val="top"/>
          </w:tcPr>
          <w:p>
            <w:pPr>
              <w:spacing w:after="0"/>
            </w:pPr>
            <w:r/>
            <w:r>
              <w:rPr>
                <w:rFonts w:ascii="Times New Roman" w:hAnsi="Times New Roman"/>
                <w:b w:val="0"/>
                <w:sz w:val="20"/>
              </w:rPr>
              <w:t>EPS and earnings-related indicators</w:t>
            </w:r>
          </w:p>
        </w:tc>
        <w:tc>
          <w:tcPr>
            <w:tcW w:type="dxa" w:w="3600"/>
            <w:vAlign w:val="top"/>
          </w:tcPr>
          <w:p>
            <w:pPr>
              <w:spacing w:after="0"/>
            </w:pPr>
            <w:r/>
            <w:r>
              <w:rPr>
                <w:rFonts w:ascii="Times New Roman" w:hAnsi="Times New Roman"/>
                <w:b w:val="0"/>
                <w:sz w:val="20"/>
              </w:rPr>
              <w:t>Firm performance and market expectations</w:t>
            </w:r>
          </w:p>
        </w:tc>
      </w:tr>
      <w:tr>
        <w:tc>
          <w:tcPr>
            <w:tcW w:type="dxa" w:w="2160"/>
            <w:vAlign w:val="top"/>
          </w:tcPr>
          <w:p>
            <w:pPr>
              <w:spacing w:after="0"/>
            </w:pPr>
            <w:r/>
            <w:r>
              <w:rPr>
                <w:rFonts w:ascii="Times New Roman" w:hAnsi="Times New Roman"/>
                <w:b w:val="0"/>
                <w:sz w:val="20"/>
              </w:rPr>
              <w:t>Leverage</w:t>
            </w:r>
          </w:p>
        </w:tc>
        <w:tc>
          <w:tcPr>
            <w:tcW w:type="dxa" w:w="3888"/>
            <w:vAlign w:val="top"/>
          </w:tcPr>
          <w:p>
            <w:pPr>
              <w:spacing w:after="0"/>
            </w:pPr>
            <w:r/>
            <w:r>
              <w:rPr>
                <w:rFonts w:ascii="Times New Roman" w:hAnsi="Times New Roman"/>
                <w:b w:val="0"/>
                <w:sz w:val="20"/>
              </w:rPr>
              <w:t>Total debt to equity, debt-related balance-sheet variables</w:t>
            </w:r>
          </w:p>
        </w:tc>
        <w:tc>
          <w:tcPr>
            <w:tcW w:type="dxa" w:w="3600"/>
            <w:vAlign w:val="top"/>
          </w:tcPr>
          <w:p>
            <w:pPr>
              <w:spacing w:after="0"/>
            </w:pPr>
            <w:r/>
            <w:r>
              <w:rPr>
                <w:rFonts w:ascii="Times New Roman" w:hAnsi="Times New Roman"/>
                <w:b w:val="0"/>
                <w:sz w:val="20"/>
              </w:rPr>
              <w:t>Financial risk and solvency pressure</w:t>
            </w:r>
          </w:p>
        </w:tc>
      </w:tr>
      <w:tr>
        <w:tc>
          <w:tcPr>
            <w:tcW w:type="dxa" w:w="2160"/>
            <w:vAlign w:val="top"/>
          </w:tcPr>
          <w:p>
            <w:pPr>
              <w:spacing w:after="0"/>
            </w:pPr>
            <w:r/>
            <w:r>
              <w:rPr>
                <w:rFonts w:ascii="Times New Roman" w:hAnsi="Times New Roman"/>
                <w:b w:val="0"/>
                <w:sz w:val="20"/>
              </w:rPr>
              <w:t>Liquidity</w:t>
            </w:r>
          </w:p>
        </w:tc>
        <w:tc>
          <w:tcPr>
            <w:tcW w:type="dxa" w:w="3888"/>
            <w:vAlign w:val="top"/>
          </w:tcPr>
          <w:p>
            <w:pPr>
              <w:spacing w:after="0"/>
            </w:pPr>
            <w:r/>
            <w:r>
              <w:rPr>
                <w:rFonts w:ascii="Times New Roman" w:hAnsi="Times New Roman"/>
                <w:b w:val="0"/>
                <w:sz w:val="20"/>
              </w:rPr>
              <w:t>Current assets, current liabilities, current ratio</w:t>
            </w:r>
          </w:p>
        </w:tc>
        <w:tc>
          <w:tcPr>
            <w:tcW w:type="dxa" w:w="3600"/>
            <w:vAlign w:val="top"/>
          </w:tcPr>
          <w:p>
            <w:pPr>
              <w:spacing w:after="0"/>
            </w:pPr>
            <w:r/>
            <w:r>
              <w:rPr>
                <w:rFonts w:ascii="Times New Roman" w:hAnsi="Times New Roman"/>
                <w:b w:val="0"/>
                <w:sz w:val="20"/>
              </w:rPr>
              <w:t>Short-term financial stability</w:t>
            </w:r>
          </w:p>
        </w:tc>
      </w:tr>
      <w:tr>
        <w:tc>
          <w:tcPr>
            <w:tcW w:type="dxa" w:w="2160"/>
            <w:vAlign w:val="top"/>
          </w:tcPr>
          <w:p>
            <w:pPr>
              <w:spacing w:after="0"/>
            </w:pPr>
            <w:r/>
            <w:r>
              <w:rPr>
                <w:rFonts w:ascii="Times New Roman" w:hAnsi="Times New Roman"/>
                <w:b w:val="0"/>
                <w:sz w:val="20"/>
              </w:rPr>
              <w:t>Cash flow</w:t>
            </w:r>
          </w:p>
        </w:tc>
        <w:tc>
          <w:tcPr>
            <w:tcW w:type="dxa" w:w="3888"/>
            <w:vAlign w:val="top"/>
          </w:tcPr>
          <w:p>
            <w:pPr>
              <w:spacing w:after="0"/>
            </w:pPr>
            <w:r/>
            <w:r>
              <w:rPr>
                <w:rFonts w:ascii="Times New Roman" w:hAnsi="Times New Roman"/>
                <w:b w:val="0"/>
                <w:sz w:val="20"/>
              </w:rPr>
              <w:t>Cash from operations and free cash flow</w:t>
            </w:r>
          </w:p>
        </w:tc>
        <w:tc>
          <w:tcPr>
            <w:tcW w:type="dxa" w:w="3600"/>
            <w:vAlign w:val="top"/>
          </w:tcPr>
          <w:p>
            <w:pPr>
              <w:spacing w:after="0"/>
            </w:pPr>
            <w:r/>
            <w:r>
              <w:rPr>
                <w:rFonts w:ascii="Times New Roman" w:hAnsi="Times New Roman"/>
                <w:b w:val="0"/>
                <w:sz w:val="20"/>
              </w:rPr>
              <w:t>Ability to generate cash and sustain growth</w:t>
            </w:r>
          </w:p>
        </w:tc>
      </w:tr>
      <w:tr>
        <w:tc>
          <w:tcPr>
            <w:tcW w:type="dxa" w:w="2160"/>
            <w:vAlign w:val="top"/>
          </w:tcPr>
          <w:p>
            <w:pPr>
              <w:spacing w:after="0"/>
            </w:pPr>
            <w:r/>
            <w:r>
              <w:rPr>
                <w:rFonts w:ascii="Times New Roman" w:hAnsi="Times New Roman"/>
                <w:b w:val="0"/>
                <w:sz w:val="20"/>
              </w:rPr>
              <w:t>Price-derived features</w:t>
            </w:r>
          </w:p>
        </w:tc>
        <w:tc>
          <w:tcPr>
            <w:tcW w:type="dxa" w:w="3888"/>
            <w:vAlign w:val="top"/>
          </w:tcPr>
          <w:p>
            <w:pPr>
              <w:spacing w:after="0"/>
            </w:pPr>
            <w:r/>
            <w:r>
              <w:rPr>
                <w:rFonts w:ascii="Times New Roman" w:hAnsi="Times New Roman"/>
                <w:b w:val="0"/>
                <w:sz w:val="20"/>
              </w:rPr>
              <w:t>Momentum, moving-average ratios, historical volatility</w:t>
            </w:r>
          </w:p>
        </w:tc>
        <w:tc>
          <w:tcPr>
            <w:tcW w:type="dxa" w:w="3600"/>
            <w:vAlign w:val="top"/>
          </w:tcPr>
          <w:p>
            <w:pPr>
              <w:spacing w:after="0"/>
            </w:pPr>
            <w:r/>
            <w:r>
              <w:rPr>
                <w:rFonts w:ascii="Times New Roman" w:hAnsi="Times New Roman"/>
                <w:b w:val="0"/>
                <w:sz w:val="20"/>
              </w:rPr>
              <w:t>Complementary technical information computed from prices</w:t>
            </w:r>
          </w:p>
        </w:tc>
      </w:tr>
    </w:tbl>
    <w:p>
      <w:pPr>
        <w:spacing w:after="0"/>
      </w:pPr>
    </w:p>
    <w:p>
      <w:pPr>
        <w:pStyle w:val="Heading2"/>
        <w:spacing w:before="60" w:after="80"/>
      </w:pPr>
      <w:r>
        <w:rPr>
          <w:rFonts w:ascii="Times New Roman" w:hAnsi="Times New Roman"/>
          <w:color w:val="1F4E79"/>
          <w:sz w:val="24"/>
        </w:rPr>
        <w:t>3.2 Target Variable and Time Alignment</w:t>
      </w:r>
    </w:p>
    <w:p>
      <w:pPr>
        <w:spacing w:after="120" w:line="259" w:lineRule="auto"/>
      </w:pPr>
      <w:r>
        <w:rPr>
          <w:rFonts w:ascii="Times New Roman" w:hAnsi="Times New Roman"/>
          <w:sz w:val="22"/>
        </w:rPr>
        <w:t>The prediction target is the next-month stock return. For each stock i at month t, the target will be computed from price data as:</w:t>
      </w:r>
    </w:p>
    <w:p>
      <w:pPr>
        <w:spacing w:after="120" w:line="259" w:lineRule="auto"/>
      </w:pPr>
      <w:r>
        <w:rPr>
          <w:rFonts w:ascii="Times New Roman" w:hAnsi="Times New Roman"/>
          <w:sz w:val="22"/>
        </w:rPr>
        <w:t>Return(i,t+1) = Price(i,t+1) / Price(i,t) - 1</w:t>
      </w:r>
    </w:p>
    <w:p>
      <w:pPr>
        <w:spacing w:after="120" w:line="259" w:lineRule="auto"/>
      </w:pPr>
      <w:r>
        <w:rPr>
          <w:rFonts w:ascii="Times New Roman" w:hAnsi="Times New Roman"/>
          <w:sz w:val="22"/>
        </w:rPr>
        <w:t>All predictor variables must be known before the prediction date. Price-derived variables will be calculated using only information up to month t. Fundamental variables will be aligned conservatively to avoid look-ahead bias. If Bloomberg provides report or announcement dates, those dates will be used. Otherwise, accounting variables will be lagged by at least one reporting period or by a conservative time buffer so that future financial information is not used to predict past returns.</w:t>
      </w:r>
    </w:p>
    <w:p>
      <w:pPr>
        <w:pStyle w:val="Heading2"/>
        <w:spacing w:before="60" w:after="80"/>
      </w:pPr>
      <w:r>
        <w:rPr>
          <w:rFonts w:ascii="Times New Roman" w:hAnsi="Times New Roman"/>
          <w:color w:val="1F4E79"/>
          <w:sz w:val="24"/>
        </w:rPr>
        <w:t>3.3 Data Cleaning and Feature Engineering</w:t>
      </w:r>
    </w:p>
    <w:p>
      <w:pPr>
        <w:spacing w:after="120" w:line="259" w:lineRule="auto"/>
      </w:pPr>
      <w:r>
        <w:rPr>
          <w:rFonts w:ascii="Times New Roman" w:hAnsi="Times New Roman"/>
          <w:sz w:val="22"/>
        </w:rPr>
        <w:t>Data collection, cleaning, and transformation will be a central part of the project. Bloomberg exports often require careful reshaping, date validation, and ticker-level checks before they can be used for machine learning. The raw wide-format export will be converted into a reproducible long-format panel dataset. The cleaning process will include:</w:t>
      </w:r>
    </w:p>
    <w:p>
      <w:pPr>
        <w:pStyle w:val="ListBullet"/>
        <w:spacing w:after="60" w:line="259" w:lineRule="auto"/>
      </w:pPr>
      <w:r>
        <w:rPr>
          <w:rFonts w:ascii="Times New Roman" w:hAnsi="Times New Roman"/>
          <w:sz w:val="22"/>
        </w:rPr>
        <w:t>validating that every ticker has its own correctly aligned date series;</w:t>
      </w:r>
    </w:p>
    <w:p>
      <w:pPr>
        <w:pStyle w:val="ListBullet"/>
        <w:spacing w:after="60" w:line="259" w:lineRule="auto"/>
      </w:pPr>
      <w:r>
        <w:rPr>
          <w:rFonts w:ascii="Times New Roman" w:hAnsi="Times New Roman"/>
          <w:sz w:val="22"/>
        </w:rPr>
        <w:t>checking coverage across firms, months, and Bloomberg fields;</w:t>
      </w:r>
    </w:p>
    <w:p>
      <w:pPr>
        <w:pStyle w:val="ListBullet"/>
        <w:spacing w:after="60" w:line="259" w:lineRule="auto"/>
      </w:pPr>
      <w:r>
        <w:rPr>
          <w:rFonts w:ascii="Times New Roman" w:hAnsi="Times New Roman"/>
          <w:sz w:val="22"/>
        </w:rPr>
        <w:t>removing or flagging duplicate observations and invalid Bloomberg error values;</w:t>
      </w:r>
    </w:p>
    <w:p>
      <w:pPr>
        <w:pStyle w:val="ListBullet"/>
        <w:spacing w:after="60" w:line="259" w:lineRule="auto"/>
      </w:pPr>
      <w:r>
        <w:rPr>
          <w:rFonts w:ascii="Times New Roman" w:hAnsi="Times New Roman"/>
          <w:sz w:val="22"/>
        </w:rPr>
        <w:t>handling missing data using documented rules, such as coverage thresholds, median imputation within training data, or feature exclusion where missingness is too high;</w:t>
      </w:r>
    </w:p>
    <w:p>
      <w:pPr>
        <w:pStyle w:val="ListBullet"/>
        <w:spacing w:after="60" w:line="259" w:lineRule="auto"/>
      </w:pPr>
      <w:r>
        <w:rPr>
          <w:rFonts w:ascii="Times New Roman" w:hAnsi="Times New Roman"/>
          <w:sz w:val="22"/>
        </w:rPr>
        <w:t>winsorising or clipping extreme financial ratios where justified to reduce the effect of outliers;</w:t>
      </w:r>
    </w:p>
    <w:p>
      <w:pPr>
        <w:pStyle w:val="ListBullet"/>
        <w:spacing w:after="60" w:line="259" w:lineRule="auto"/>
      </w:pPr>
      <w:r>
        <w:rPr>
          <w:rFonts w:ascii="Times New Roman" w:hAnsi="Times New Roman"/>
          <w:sz w:val="22"/>
        </w:rPr>
        <w:t>standardising or scaling variables where required by OLS, with transformations fitted only on training data;</w:t>
      </w:r>
    </w:p>
    <w:p>
      <w:pPr>
        <w:pStyle w:val="ListBullet"/>
        <w:spacing w:after="60" w:line="259" w:lineRule="auto"/>
      </w:pPr>
      <w:r>
        <w:rPr>
          <w:rFonts w:ascii="Times New Roman" w:hAnsi="Times New Roman"/>
          <w:sz w:val="22"/>
        </w:rPr>
        <w:t>creating price-derived variables such as one-, three-, six-, and twelve-month momentum, rolling volatility, and moving-average ratios.</w:t>
      </w:r>
    </w:p>
    <w:p>
      <w:pPr>
        <w:spacing w:after="120" w:line="259" w:lineRule="auto"/>
      </w:pPr>
      <w:r>
        <w:rPr>
          <w:rFonts w:ascii="Times New Roman" w:hAnsi="Times New Roman"/>
          <w:sz w:val="22"/>
        </w:rPr>
        <w:t>The final dataset will be accompanied by a data dictionary and an audit summary showing the number of firms, months, observations, fields, missing rates, and sample restrictions. This documentation will support the reproducibility and credibility of the dissertation.</w:t>
      </w:r>
    </w:p>
    <w:p>
      <w:pPr>
        <w:pStyle w:val="Heading2"/>
        <w:spacing w:before="60" w:after="80"/>
      </w:pPr>
      <w:r>
        <w:rPr>
          <w:rFonts w:ascii="Times New Roman" w:hAnsi="Times New Roman"/>
          <w:color w:val="1F4E79"/>
          <w:sz w:val="24"/>
        </w:rPr>
        <w:t>3.4 Predictive Models</w:t>
      </w:r>
    </w:p>
    <w:p>
      <w:pPr>
        <w:spacing w:after="120" w:line="259" w:lineRule="auto"/>
      </w:pPr>
      <w:r>
        <w:rPr>
          <w:rFonts w:ascii="Times New Roman" w:hAnsi="Times New Roman"/>
          <w:sz w:val="22"/>
        </w:rPr>
        <w:t>The dissertation will compare three model families that represent increasing complexity while remaining feasible for a taught MSc project:</w:t>
      </w:r>
    </w:p>
    <w:p>
      <w:pPr>
        <w:spacing w:after="60" w:line="259" w:lineRule="auto"/>
        <w:ind w:left="403" w:hanging="403"/>
      </w:pPr>
      <w:r>
        <w:rPr>
          <w:rFonts w:ascii="Times New Roman" w:hAnsi="Times New Roman"/>
          <w:sz w:val="22"/>
        </w:rPr>
        <w:t>1.   OLS Regression: a transparent statistical baseline with interpretable coefficients. Standardised coefficients may be used for comparison with SHAP feature importance.</w:t>
      </w:r>
    </w:p>
    <w:p>
      <w:pPr>
        <w:spacing w:after="60" w:line="259" w:lineRule="auto"/>
        <w:ind w:left="403" w:hanging="403"/>
      </w:pPr>
      <w:r>
        <w:rPr>
          <w:rFonts w:ascii="Times New Roman" w:hAnsi="Times New Roman"/>
          <w:sz w:val="22"/>
        </w:rPr>
        <w:t>2.   Random Forest: a non-linear ensemble method that can capture variable interactions and is suitable for tabular financial data.</w:t>
      </w:r>
    </w:p>
    <w:p>
      <w:pPr>
        <w:spacing w:after="60" w:line="259" w:lineRule="auto"/>
        <w:ind w:left="403" w:hanging="403"/>
      </w:pPr>
      <w:r>
        <w:rPr>
          <w:rFonts w:ascii="Times New Roman" w:hAnsi="Times New Roman"/>
          <w:sz w:val="22"/>
        </w:rPr>
        <w:t>3.   XGBoost: a gradient-boosted tree model that often performs strongly on structured datasets and allows controlled regularisation.</w:t>
      </w:r>
    </w:p>
    <w:p>
      <w:pPr>
        <w:spacing w:after="120" w:line="259" w:lineRule="auto"/>
      </w:pPr>
      <w:r>
        <w:rPr>
          <w:rFonts w:ascii="Times New Roman" w:hAnsi="Times New Roman"/>
          <w:sz w:val="22"/>
        </w:rPr>
        <w:t>The project will use established Python libraries rather than attempting to design a new algorithm. This is appropriate because the main contribution lies in the quality of the data pipeline, the rigour of the experimental design, and the interpretability of the results. A neural-network model will not be part of the core scope; it may be mentioned as future work only if time and results justify it.</w:t>
      </w:r>
    </w:p>
    <w:p>
      <w:pPr>
        <w:pStyle w:val="Heading2"/>
        <w:spacing w:before="60" w:after="80"/>
      </w:pPr>
      <w:r>
        <w:rPr>
          <w:rFonts w:ascii="Times New Roman" w:hAnsi="Times New Roman"/>
          <w:color w:val="1F4E79"/>
          <w:sz w:val="24"/>
        </w:rPr>
        <w:t>3.5 Validation Strategy and Evaluation Metrics</w:t>
      </w:r>
    </w:p>
    <w:p>
      <w:pPr>
        <w:spacing w:after="120" w:line="259" w:lineRule="auto"/>
      </w:pPr>
      <w:r>
        <w:rPr>
          <w:rFonts w:ascii="Times New Roman" w:hAnsi="Times New Roman"/>
          <w:sz w:val="22"/>
        </w:rPr>
        <w:t>To prevent data leakage, the project will use an expanding-window or walk-forward validation strategy. In each evaluation round, models will be trained only on historical observations and tested on a later period. Hyperparameter tuning, scaling, imputation, and feature selection will be performed within the training window, not on the full dataset.</w:t>
      </w:r>
    </w:p>
    <w:p>
      <w:pPr>
        <w:spacing w:after="120" w:line="259" w:lineRule="auto"/>
      </w:pPr>
      <w:r>
        <w:rPr>
          <w:rFonts w:ascii="Times New Roman" w:hAnsi="Times New Roman"/>
          <w:sz w:val="22"/>
        </w:rPr>
        <w:t>Because Random Forest and XGBoost contain stochastic elements, each model will be run multiple times using different random seeds. The dissertation will report not only the best result, but also the mean, standard deviation, and confidence intervals or significance tests where appropriate. This will help distinguish genuine model improvement from random variation.</w:t>
      </w:r>
    </w:p>
    <w:p>
      <w:pPr>
        <w:spacing w:after="120" w:line="259" w:lineRule="auto"/>
      </w:pPr>
      <w:r>
        <w:rPr>
          <w:rFonts w:ascii="Times New Roman" w:hAnsi="Times New Roman"/>
          <w:sz w:val="22"/>
        </w:rPr>
        <w:t>The evaluation will use both statistical and financially interpretable metrics:</w:t>
      </w:r>
    </w:p>
    <w:p>
      <w:pPr>
        <w:pStyle w:val="ListBullet"/>
        <w:spacing w:after="60" w:line="259" w:lineRule="auto"/>
      </w:pPr>
      <w:r>
        <w:rPr>
          <w:rFonts w:ascii="Times New Roman" w:hAnsi="Times New Roman"/>
          <w:sz w:val="22"/>
        </w:rPr>
        <w:t>MSE and RMSE for prediction error;</w:t>
      </w:r>
    </w:p>
    <w:p>
      <w:pPr>
        <w:pStyle w:val="ListBullet"/>
        <w:spacing w:after="60" w:line="259" w:lineRule="auto"/>
      </w:pPr>
      <w:r>
        <w:rPr>
          <w:rFonts w:ascii="Times New Roman" w:hAnsi="Times New Roman"/>
          <w:sz w:val="22"/>
        </w:rPr>
        <w:t>out-of-sample R-squared to compare against a historical-mean or OLS benchmark;</w:t>
      </w:r>
    </w:p>
    <w:p>
      <w:pPr>
        <w:pStyle w:val="ListBullet"/>
        <w:spacing w:after="60" w:line="259" w:lineRule="auto"/>
      </w:pPr>
      <w:r>
        <w:rPr>
          <w:rFonts w:ascii="Times New Roman" w:hAnsi="Times New Roman"/>
          <w:sz w:val="22"/>
        </w:rPr>
        <w:t>Directional Accuracy to measure how often the predicted sign matches the realised return sign;</w:t>
      </w:r>
    </w:p>
    <w:p>
      <w:pPr>
        <w:pStyle w:val="ListBullet"/>
        <w:spacing w:after="60" w:line="259" w:lineRule="auto"/>
      </w:pPr>
      <w:r>
        <w:rPr>
          <w:rFonts w:ascii="Times New Roman" w:hAnsi="Times New Roman"/>
          <w:sz w:val="22"/>
        </w:rPr>
        <w:t>Information Coefficient, preferably calculated cross-sectionally by month, to assess the relationship between predicted and realised returns;</w:t>
      </w:r>
    </w:p>
    <w:p>
      <w:pPr>
        <w:pStyle w:val="ListBullet"/>
        <w:spacing w:after="60" w:line="259" w:lineRule="auto"/>
      </w:pPr>
      <w:r>
        <w:rPr>
          <w:rFonts w:ascii="Times New Roman" w:hAnsi="Times New Roman"/>
          <w:sz w:val="22"/>
        </w:rPr>
        <w:t>paired statistical tests or bootstrap confidence intervals to compare model performance across the same test periods.</w:t>
      </w:r>
    </w:p>
    <w:p>
      <w:pPr>
        <w:pStyle w:val="Heading2"/>
        <w:spacing w:before="60" w:after="80"/>
      </w:pPr>
      <w:r>
        <w:rPr>
          <w:rFonts w:ascii="Times New Roman" w:hAnsi="Times New Roman"/>
          <w:color w:val="1F4E79"/>
          <w:sz w:val="24"/>
        </w:rPr>
        <w:t>3.6 Explainability Analysis</w:t>
      </w:r>
    </w:p>
    <w:p>
      <w:pPr>
        <w:spacing w:after="120" w:line="259" w:lineRule="auto"/>
      </w:pPr>
      <w:r>
        <w:rPr>
          <w:rFonts w:ascii="Times New Roman" w:hAnsi="Times New Roman"/>
          <w:sz w:val="22"/>
        </w:rPr>
        <w:t>SHAP will be used as the main post-hoc explainability framework for Random Forest and XGBoost. The analysis will include global explanations, such as feature-importance rankings and SHAP summary plots, and selected local explanations for individual firm-month predictions. These explanations will be compared with OLS coefficients to examine how interpretability changes as model complexity increases.</w:t>
      </w:r>
    </w:p>
    <w:p>
      <w:pPr>
        <w:spacing w:after="120" w:line="259" w:lineRule="auto"/>
      </w:pPr>
      <w:r>
        <w:rPr>
          <w:rFonts w:ascii="Times New Roman" w:hAnsi="Times New Roman"/>
          <w:sz w:val="22"/>
        </w:rPr>
        <w:t>The interpretation will not stop at ranking variables. The results will be discussed in relation to fundamental-analysis reasoning. For example, high leverage may be associated with financial risk, strong cash flow may indicate operational resilience, and profitability indicators may signal firm quality. If a model identifies such variables as important, the dissertation will explain whether the direction and magnitude of their effects are economically plausible. If results are weak or inconsistent, the dissertation will also discuss why return prediction is difficult and what limitations may explain the findings.</w:t>
      </w:r>
    </w:p>
    <w:p>
      <w:pPr>
        <w:pStyle w:val="Heading1"/>
        <w:spacing w:before="120" w:after="80"/>
      </w:pPr>
      <w:r>
        <w:rPr>
          <w:rFonts w:ascii="Times New Roman" w:hAnsi="Times New Roman"/>
          <w:color w:val="1F4E79"/>
          <w:sz w:val="28"/>
        </w:rPr>
        <w:t>4. Expected Contributions</w:t>
      </w:r>
    </w:p>
    <w:p>
      <w:pPr>
        <w:pStyle w:val="ListBullet"/>
        <w:spacing w:after="60" w:line="259" w:lineRule="auto"/>
      </w:pPr>
      <w:r>
        <w:rPr>
          <w:rFonts w:ascii="Times New Roman" w:hAnsi="Times New Roman"/>
          <w:sz w:val="22"/>
        </w:rPr>
        <w:t>Data-engineering contribution: the project will construct and document a clean Bloomberg-based firm-month panel dataset, including treatment of missing values, date alignment, and survivorship-bias concerns.</w:t>
      </w:r>
    </w:p>
    <w:p>
      <w:pPr>
        <w:pStyle w:val="ListBullet"/>
        <w:spacing w:after="60" w:line="259" w:lineRule="auto"/>
      </w:pPr>
      <w:r>
        <w:rPr>
          <w:rFonts w:ascii="Times New Roman" w:hAnsi="Times New Roman"/>
          <w:sz w:val="22"/>
        </w:rPr>
        <w:t>Methodological contribution: the project will provide a controlled comparison of OLS, Random Forest, and XGBoost under a time-aware evaluation design.</w:t>
      </w:r>
    </w:p>
    <w:p>
      <w:pPr>
        <w:pStyle w:val="ListBullet"/>
        <w:spacing w:after="60" w:line="259" w:lineRule="auto"/>
      </w:pPr>
      <w:r>
        <w:rPr>
          <w:rFonts w:ascii="Times New Roman" w:hAnsi="Times New Roman"/>
          <w:sz w:val="22"/>
        </w:rPr>
        <w:t>Experimental-rigour contribution: stochastic models will be evaluated through repeated runs and statistical summaries rather than a single reported result.</w:t>
      </w:r>
    </w:p>
    <w:p>
      <w:pPr>
        <w:pStyle w:val="ListBullet"/>
        <w:spacing w:after="60" w:line="259" w:lineRule="auto"/>
      </w:pPr>
      <w:r>
        <w:rPr>
          <w:rFonts w:ascii="Times New Roman" w:hAnsi="Times New Roman"/>
          <w:sz w:val="22"/>
        </w:rPr>
        <w:t>Explainability contribution: SHAP analysis will be used to connect complex machine-learning predictions to financially meaningful fundamental indicators.</w:t>
      </w:r>
    </w:p>
    <w:p>
      <w:pPr>
        <w:pStyle w:val="ListBullet"/>
        <w:spacing w:after="60" w:line="259" w:lineRule="auto"/>
      </w:pPr>
      <w:r>
        <w:rPr>
          <w:rFonts w:ascii="Times New Roman" w:hAnsi="Times New Roman"/>
          <w:sz w:val="22"/>
        </w:rPr>
        <w:t>Practical contribution: the dissertation will identify which types of financial indicators, if any, appear useful for next-month stock return prediction in a realistic setting.</w:t>
      </w:r>
    </w:p>
    <w:p>
      <w:pPr>
        <w:pStyle w:val="Heading1"/>
        <w:spacing w:before="120" w:after="80"/>
      </w:pPr>
      <w:r>
        <w:rPr>
          <w:rFonts w:ascii="Times New Roman" w:hAnsi="Times New Roman"/>
          <w:color w:val="1F4E79"/>
          <w:sz w:val="28"/>
        </w:rPr>
        <w:t>5. Ethical, Legal, and Data Governance Considerations</w:t>
      </w:r>
    </w:p>
    <w:p>
      <w:pPr>
        <w:spacing w:after="120" w:line="259" w:lineRule="auto"/>
      </w:pPr>
      <w:r>
        <w:rPr>
          <w:rFonts w:ascii="Times New Roman" w:hAnsi="Times New Roman"/>
          <w:sz w:val="22"/>
        </w:rPr>
        <w:t>This project does not involve human participants, personal data, or sensitive personal information. The ethical risk is therefore low. However, the project will use licensed financial data obtained through Bloomberg Terminal under university access. The raw Bloomberg data will not be publicly redistributed. Any submitted code repository will contain cleaning and modelling scripts, derived summary outputs, and documentation, but not the raw licensed dataset unless explicitly permitted by university and Bloomberg access rules.</w:t>
      </w:r>
    </w:p>
    <w:p>
      <w:pPr>
        <w:spacing w:after="120" w:line="259" w:lineRule="auto"/>
      </w:pPr>
      <w:r>
        <w:rPr>
          <w:rFonts w:ascii="Times New Roman" w:hAnsi="Times New Roman"/>
          <w:sz w:val="22"/>
        </w:rPr>
        <w:t>All academic sources, software libraries, and external data sources will be cited according to university requirements. The dissertation will also describe the limitations of the dataset honestly, especially if complete historical S&amp;P 500 constituent coverage cannot be obtained.</w:t>
      </w:r>
    </w:p>
    <w:p>
      <w:pPr>
        <w:pStyle w:val="Heading1"/>
        <w:spacing w:before="120" w:after="80"/>
      </w:pPr>
      <w:r>
        <w:rPr>
          <w:rFonts w:ascii="Times New Roman" w:hAnsi="Times New Roman"/>
          <w:color w:val="1F4E79"/>
          <w:sz w:val="28"/>
        </w:rPr>
        <w:t>6. Project Risks and Mitigation</w:t>
      </w:r>
    </w:p>
    <w:tbl>
      <w:tblPr>
        <w:tblStyle w:val="TableGrid"/>
        <w:tblW w:type="auto" w:w="0"/>
        <w:jc w:val="center"/>
        <w:tblLook w:firstColumn="1" w:firstRow="1" w:lastColumn="0" w:lastRow="0" w:noHBand="0" w:noVBand="1" w:val="04A0"/>
      </w:tblPr>
      <w:tblGrid>
        <w:gridCol w:w="3264"/>
        <w:gridCol w:w="3264"/>
        <w:gridCol w:w="3264"/>
      </w:tblGrid>
      <w:tr>
        <w:tc>
          <w:tcPr>
            <w:tcW w:type="dxa" w:w="2448"/>
            <w:shd w:fill="D9EAF7"/>
            <w:vAlign w:val="center"/>
          </w:tcPr>
          <w:p>
            <w:pPr>
              <w:spacing w:after="0"/>
            </w:pPr>
            <w:r/>
            <w:r>
              <w:rPr>
                <w:rFonts w:ascii="Times New Roman" w:hAnsi="Times New Roman"/>
                <w:b/>
                <w:sz w:val="20"/>
              </w:rPr>
              <w:t>Risk</w:t>
            </w:r>
          </w:p>
        </w:tc>
        <w:tc>
          <w:tcPr>
            <w:tcW w:type="dxa" w:w="1440"/>
            <w:shd w:fill="D9EAF7"/>
            <w:vAlign w:val="center"/>
          </w:tcPr>
          <w:p>
            <w:pPr>
              <w:spacing w:after="0"/>
            </w:pPr>
            <w:r/>
            <w:r>
              <w:rPr>
                <w:rFonts w:ascii="Times New Roman" w:hAnsi="Times New Roman"/>
                <w:b/>
                <w:sz w:val="20"/>
              </w:rPr>
              <w:t>Level</w:t>
            </w:r>
          </w:p>
        </w:tc>
        <w:tc>
          <w:tcPr>
            <w:tcW w:type="dxa" w:w="6192"/>
            <w:shd w:fill="D9EAF7"/>
            <w:vAlign w:val="center"/>
          </w:tcPr>
          <w:p>
            <w:pPr>
              <w:spacing w:after="0"/>
            </w:pPr>
            <w:r/>
            <w:r>
              <w:rPr>
                <w:rFonts w:ascii="Times New Roman" w:hAnsi="Times New Roman"/>
                <w:b/>
                <w:sz w:val="20"/>
              </w:rPr>
              <w:t>Mitigation</w:t>
            </w:r>
          </w:p>
        </w:tc>
      </w:tr>
      <w:tr>
        <w:tc>
          <w:tcPr>
            <w:tcW w:type="dxa" w:w="2448"/>
            <w:vAlign w:val="top"/>
          </w:tcPr>
          <w:p>
            <w:pPr>
              <w:spacing w:after="0"/>
            </w:pPr>
            <w:r/>
            <w:r>
              <w:rPr>
                <w:rFonts w:ascii="Times New Roman" w:hAnsi="Times New Roman"/>
                <w:b w:val="0"/>
                <w:sz w:val="20"/>
              </w:rPr>
              <w:t>Bloomberg access constraints</w:t>
            </w:r>
          </w:p>
        </w:tc>
        <w:tc>
          <w:tcPr>
            <w:tcW w:type="dxa" w:w="1440"/>
            <w:vAlign w:val="top"/>
          </w:tcPr>
          <w:p>
            <w:pPr>
              <w:spacing w:after="0"/>
            </w:pPr>
            <w:r/>
            <w:r>
              <w:rPr>
                <w:rFonts w:ascii="Times New Roman" w:hAnsi="Times New Roman"/>
                <w:b w:val="0"/>
                <w:sz w:val="20"/>
              </w:rPr>
              <w:t>Medium to high</w:t>
            </w:r>
          </w:p>
        </w:tc>
        <w:tc>
          <w:tcPr>
            <w:tcW w:type="dxa" w:w="6192"/>
            <w:vAlign w:val="top"/>
          </w:tcPr>
          <w:p>
            <w:pPr>
              <w:spacing w:after="0"/>
            </w:pPr>
            <w:r/>
            <w:r>
              <w:rPr>
                <w:rFonts w:ascii="Times New Roman" w:hAnsi="Times New Roman"/>
                <w:b w:val="0"/>
                <w:sz w:val="20"/>
              </w:rPr>
              <w:t>Prepare a field list and export template before using the terminal; keep raw exports and logs; use current-constituent sample as a fallback while clearly documenting limitations.</w:t>
            </w:r>
          </w:p>
        </w:tc>
      </w:tr>
      <w:tr>
        <w:tc>
          <w:tcPr>
            <w:tcW w:type="dxa" w:w="2448"/>
            <w:vAlign w:val="top"/>
          </w:tcPr>
          <w:p>
            <w:pPr>
              <w:spacing w:after="0"/>
            </w:pPr>
            <w:r/>
            <w:r>
              <w:rPr>
                <w:rFonts w:ascii="Times New Roman" w:hAnsi="Times New Roman"/>
                <w:b w:val="0"/>
                <w:sz w:val="20"/>
              </w:rPr>
              <w:t>Survivorship bias</w:t>
            </w:r>
          </w:p>
        </w:tc>
        <w:tc>
          <w:tcPr>
            <w:tcW w:type="dxa" w:w="1440"/>
            <w:vAlign w:val="top"/>
          </w:tcPr>
          <w:p>
            <w:pPr>
              <w:spacing w:after="0"/>
            </w:pPr>
            <w:r/>
            <w:r>
              <w:rPr>
                <w:rFonts w:ascii="Times New Roman" w:hAnsi="Times New Roman"/>
                <w:b w:val="0"/>
                <w:sz w:val="20"/>
              </w:rPr>
              <w:t>High</w:t>
            </w:r>
          </w:p>
        </w:tc>
        <w:tc>
          <w:tcPr>
            <w:tcW w:type="dxa" w:w="6192"/>
            <w:vAlign w:val="top"/>
          </w:tcPr>
          <w:p>
            <w:pPr>
              <w:spacing w:after="0"/>
            </w:pPr>
            <w:r/>
            <w:r>
              <w:rPr>
                <w:rFonts w:ascii="Times New Roman" w:hAnsi="Times New Roman"/>
                <w:b w:val="0"/>
                <w:sz w:val="20"/>
              </w:rPr>
              <w:t>Attempt to collect historical constituents and delisted firms; if unavailable, quantify and discuss the limitation explicitly.</w:t>
            </w:r>
          </w:p>
        </w:tc>
      </w:tr>
      <w:tr>
        <w:tc>
          <w:tcPr>
            <w:tcW w:type="dxa" w:w="2448"/>
            <w:vAlign w:val="top"/>
          </w:tcPr>
          <w:p>
            <w:pPr>
              <w:spacing w:after="0"/>
            </w:pPr>
            <w:r/>
            <w:r>
              <w:rPr>
                <w:rFonts w:ascii="Times New Roman" w:hAnsi="Times New Roman"/>
                <w:b w:val="0"/>
                <w:sz w:val="20"/>
              </w:rPr>
              <w:t>Look-ahead bias from accounting data</w:t>
            </w:r>
          </w:p>
        </w:tc>
        <w:tc>
          <w:tcPr>
            <w:tcW w:type="dxa" w:w="1440"/>
            <w:vAlign w:val="top"/>
          </w:tcPr>
          <w:p>
            <w:pPr>
              <w:spacing w:after="0"/>
            </w:pPr>
            <w:r/>
            <w:r>
              <w:rPr>
                <w:rFonts w:ascii="Times New Roman" w:hAnsi="Times New Roman"/>
                <w:b w:val="0"/>
                <w:sz w:val="20"/>
              </w:rPr>
              <w:t>High</w:t>
            </w:r>
          </w:p>
        </w:tc>
        <w:tc>
          <w:tcPr>
            <w:tcW w:type="dxa" w:w="6192"/>
            <w:vAlign w:val="top"/>
          </w:tcPr>
          <w:p>
            <w:pPr>
              <w:spacing w:after="0"/>
            </w:pPr>
            <w:r/>
            <w:r>
              <w:rPr>
                <w:rFonts w:ascii="Times New Roman" w:hAnsi="Times New Roman"/>
                <w:b w:val="0"/>
                <w:sz w:val="20"/>
              </w:rPr>
              <w:t>Use report/announcement dates where available; otherwise apply conservative lags to fundamental variables.</w:t>
            </w:r>
          </w:p>
        </w:tc>
      </w:tr>
      <w:tr>
        <w:tc>
          <w:tcPr>
            <w:tcW w:type="dxa" w:w="2448"/>
            <w:vAlign w:val="top"/>
          </w:tcPr>
          <w:p>
            <w:pPr>
              <w:spacing w:after="0"/>
            </w:pPr>
            <w:r/>
            <w:r>
              <w:rPr>
                <w:rFonts w:ascii="Times New Roman" w:hAnsi="Times New Roman"/>
                <w:b w:val="0"/>
                <w:sz w:val="20"/>
              </w:rPr>
              <w:t>Missing or inconsistent financial fields</w:t>
            </w:r>
          </w:p>
        </w:tc>
        <w:tc>
          <w:tcPr>
            <w:tcW w:type="dxa" w:w="1440"/>
            <w:vAlign w:val="top"/>
          </w:tcPr>
          <w:p>
            <w:pPr>
              <w:spacing w:after="0"/>
            </w:pPr>
            <w:r/>
            <w:r>
              <w:rPr>
                <w:rFonts w:ascii="Times New Roman" w:hAnsi="Times New Roman"/>
                <w:b w:val="0"/>
                <w:sz w:val="20"/>
              </w:rPr>
              <w:t>Medium</w:t>
            </w:r>
          </w:p>
        </w:tc>
        <w:tc>
          <w:tcPr>
            <w:tcW w:type="dxa" w:w="6192"/>
            <w:vAlign w:val="top"/>
          </w:tcPr>
          <w:p>
            <w:pPr>
              <w:spacing w:after="0"/>
            </w:pPr>
            <w:r/>
            <w:r>
              <w:rPr>
                <w:rFonts w:ascii="Times New Roman" w:hAnsi="Times New Roman"/>
                <w:b w:val="0"/>
                <w:sz w:val="20"/>
              </w:rPr>
              <w:t>Use coverage thresholds, robust imputation within training data, and sensitivity checks.</w:t>
            </w:r>
          </w:p>
        </w:tc>
      </w:tr>
      <w:tr>
        <w:tc>
          <w:tcPr>
            <w:tcW w:type="dxa" w:w="2448"/>
            <w:vAlign w:val="top"/>
          </w:tcPr>
          <w:p>
            <w:pPr>
              <w:spacing w:after="0"/>
            </w:pPr>
            <w:r/>
            <w:r>
              <w:rPr>
                <w:rFonts w:ascii="Times New Roman" w:hAnsi="Times New Roman"/>
                <w:b w:val="0"/>
                <w:sz w:val="20"/>
              </w:rPr>
              <w:t>Weak predictive performance</w:t>
            </w:r>
          </w:p>
        </w:tc>
        <w:tc>
          <w:tcPr>
            <w:tcW w:type="dxa" w:w="1440"/>
            <w:vAlign w:val="top"/>
          </w:tcPr>
          <w:p>
            <w:pPr>
              <w:spacing w:after="0"/>
            </w:pPr>
            <w:r/>
            <w:r>
              <w:rPr>
                <w:rFonts w:ascii="Times New Roman" w:hAnsi="Times New Roman"/>
                <w:b w:val="0"/>
                <w:sz w:val="20"/>
              </w:rPr>
              <w:t>Medium</w:t>
            </w:r>
          </w:p>
        </w:tc>
        <w:tc>
          <w:tcPr>
            <w:tcW w:type="dxa" w:w="6192"/>
            <w:vAlign w:val="top"/>
          </w:tcPr>
          <w:p>
            <w:pPr>
              <w:spacing w:after="0"/>
            </w:pPr>
            <w:r/>
            <w:r>
              <w:rPr>
                <w:rFonts w:ascii="Times New Roman" w:hAnsi="Times New Roman"/>
                <w:b w:val="0"/>
                <w:sz w:val="20"/>
              </w:rPr>
              <w:t>Frame the dissertation as a rigorous comparison and interpretability study, not as a guaranteed profitable trading strategy.</w:t>
            </w:r>
          </w:p>
        </w:tc>
      </w:tr>
      <w:tr>
        <w:tc>
          <w:tcPr>
            <w:tcW w:type="dxa" w:w="2448"/>
            <w:vAlign w:val="top"/>
          </w:tcPr>
          <w:p>
            <w:pPr>
              <w:spacing w:after="0"/>
            </w:pPr>
            <w:r/>
            <w:r>
              <w:rPr>
                <w:rFonts w:ascii="Times New Roman" w:hAnsi="Times New Roman"/>
                <w:b w:val="0"/>
                <w:sz w:val="20"/>
              </w:rPr>
              <w:t>Randomness in ML results</w:t>
            </w:r>
          </w:p>
        </w:tc>
        <w:tc>
          <w:tcPr>
            <w:tcW w:type="dxa" w:w="1440"/>
            <w:vAlign w:val="top"/>
          </w:tcPr>
          <w:p>
            <w:pPr>
              <w:spacing w:after="0"/>
            </w:pPr>
            <w:r/>
            <w:r>
              <w:rPr>
                <w:rFonts w:ascii="Times New Roman" w:hAnsi="Times New Roman"/>
                <w:b w:val="0"/>
                <w:sz w:val="20"/>
              </w:rPr>
              <w:t>Medium</w:t>
            </w:r>
          </w:p>
        </w:tc>
        <w:tc>
          <w:tcPr>
            <w:tcW w:type="dxa" w:w="6192"/>
            <w:vAlign w:val="top"/>
          </w:tcPr>
          <w:p>
            <w:pPr>
              <w:spacing w:after="0"/>
            </w:pPr>
            <w:r/>
            <w:r>
              <w:rPr>
                <w:rFonts w:ascii="Times New Roman" w:hAnsi="Times New Roman"/>
                <w:b w:val="0"/>
                <w:sz w:val="20"/>
              </w:rPr>
              <w:t>Run stochastic models across multiple random seeds and report distributional summaries and significance tests.</w:t>
            </w:r>
          </w:p>
        </w:tc>
      </w:tr>
    </w:tbl>
    <w:p>
      <w:pPr>
        <w:spacing w:after="0"/>
      </w:pPr>
    </w:p>
    <w:p>
      <w:pPr>
        <w:pStyle w:val="Heading1"/>
        <w:spacing w:before="120" w:after="80"/>
      </w:pPr>
      <w:r>
        <w:rPr>
          <w:rFonts w:ascii="Times New Roman" w:hAnsi="Times New Roman"/>
          <w:color w:val="1F4E79"/>
          <w:sz w:val="28"/>
        </w:rPr>
        <w:t>7. Project Timeline and Milestones</w:t>
      </w:r>
    </w:p>
    <w:tbl>
      <w:tblPr>
        <w:tblStyle w:val="TableGrid"/>
        <w:tblW w:type="auto" w:w="0"/>
        <w:jc w:val="center"/>
        <w:tblLook w:firstColumn="1" w:firstRow="1" w:lastColumn="0" w:lastRow="0" w:noHBand="0" w:noVBand="1" w:val="04A0"/>
      </w:tblPr>
      <w:tblGrid>
        <w:gridCol w:w="3264"/>
        <w:gridCol w:w="3264"/>
        <w:gridCol w:w="3264"/>
      </w:tblGrid>
      <w:tr>
        <w:tc>
          <w:tcPr>
            <w:tcW w:type="dxa" w:w="1440"/>
            <w:shd w:fill="D9EAF7"/>
            <w:vAlign w:val="center"/>
          </w:tcPr>
          <w:p>
            <w:pPr>
              <w:spacing w:after="0"/>
            </w:pPr>
            <w:r/>
            <w:r>
              <w:rPr>
                <w:rFonts w:ascii="Times New Roman" w:hAnsi="Times New Roman"/>
                <w:b/>
                <w:sz w:val="20"/>
              </w:rPr>
              <w:t>Timeline</w:t>
            </w:r>
          </w:p>
        </w:tc>
        <w:tc>
          <w:tcPr>
            <w:tcW w:type="dxa" w:w="5184"/>
            <w:shd w:fill="D9EAF7"/>
            <w:vAlign w:val="center"/>
          </w:tcPr>
          <w:p>
            <w:pPr>
              <w:spacing w:after="0"/>
            </w:pPr>
            <w:r/>
            <w:r>
              <w:rPr>
                <w:rFonts w:ascii="Times New Roman" w:hAnsi="Times New Roman"/>
                <w:b/>
                <w:sz w:val="20"/>
              </w:rPr>
              <w:t>Core Activities</w:t>
            </w:r>
          </w:p>
        </w:tc>
        <w:tc>
          <w:tcPr>
            <w:tcW w:type="dxa" w:w="3456"/>
            <w:shd w:fill="D9EAF7"/>
            <w:vAlign w:val="center"/>
          </w:tcPr>
          <w:p>
            <w:pPr>
              <w:spacing w:after="0"/>
            </w:pPr>
            <w:r/>
            <w:r>
              <w:rPr>
                <w:rFonts w:ascii="Times New Roman" w:hAnsi="Times New Roman"/>
                <w:b/>
                <w:sz w:val="20"/>
              </w:rPr>
              <w:t>Deliverables</w:t>
            </w:r>
          </w:p>
        </w:tc>
      </w:tr>
      <w:tr>
        <w:tc>
          <w:tcPr>
            <w:tcW w:type="dxa" w:w="1440"/>
            <w:vAlign w:val="top"/>
          </w:tcPr>
          <w:p>
            <w:pPr>
              <w:spacing w:after="0"/>
            </w:pPr>
            <w:r/>
            <w:r>
              <w:rPr>
                <w:rFonts w:ascii="Times New Roman" w:hAnsi="Times New Roman"/>
                <w:b w:val="0"/>
                <w:sz w:val="20"/>
              </w:rPr>
              <w:t>Weeks 1-2</w:t>
            </w:r>
          </w:p>
        </w:tc>
        <w:tc>
          <w:tcPr>
            <w:tcW w:type="dxa" w:w="5184"/>
            <w:vAlign w:val="top"/>
          </w:tcPr>
          <w:p>
            <w:pPr>
              <w:spacing w:after="0"/>
            </w:pPr>
            <w:r/>
            <w:r>
              <w:rPr>
                <w:rFonts w:ascii="Times New Roman" w:hAnsi="Times New Roman"/>
                <w:b w:val="0"/>
                <w:sz w:val="20"/>
              </w:rPr>
              <w:t>Literature review; finalise Bloomberg field list; collect initial current and historical constituent data where possible.</w:t>
            </w:r>
          </w:p>
        </w:tc>
        <w:tc>
          <w:tcPr>
            <w:tcW w:type="dxa" w:w="3456"/>
            <w:vAlign w:val="top"/>
          </w:tcPr>
          <w:p>
            <w:pPr>
              <w:spacing w:after="0"/>
            </w:pPr>
            <w:r/>
            <w:r>
              <w:rPr>
                <w:rFonts w:ascii="Times New Roman" w:hAnsi="Times New Roman"/>
                <w:b w:val="0"/>
                <w:sz w:val="20"/>
              </w:rPr>
              <w:t>Field list, raw-data log, preliminary literature review.</w:t>
            </w:r>
          </w:p>
        </w:tc>
      </w:tr>
      <w:tr>
        <w:tc>
          <w:tcPr>
            <w:tcW w:type="dxa" w:w="1440"/>
            <w:vAlign w:val="top"/>
          </w:tcPr>
          <w:p>
            <w:pPr>
              <w:spacing w:after="0"/>
            </w:pPr>
            <w:r/>
            <w:r>
              <w:rPr>
                <w:rFonts w:ascii="Times New Roman" w:hAnsi="Times New Roman"/>
                <w:b w:val="0"/>
                <w:sz w:val="20"/>
              </w:rPr>
              <w:t>Weeks 3-4</w:t>
            </w:r>
          </w:p>
        </w:tc>
        <w:tc>
          <w:tcPr>
            <w:tcW w:type="dxa" w:w="5184"/>
            <w:vAlign w:val="top"/>
          </w:tcPr>
          <w:p>
            <w:pPr>
              <w:spacing w:after="0"/>
            </w:pPr>
            <w:r/>
            <w:r>
              <w:rPr>
                <w:rFonts w:ascii="Times New Roman" w:hAnsi="Times New Roman"/>
                <w:b w:val="0"/>
                <w:sz w:val="20"/>
              </w:rPr>
              <w:t>Convert Bloomberg exports into a clean panel; validate date alignment; construct target variable and core features.</w:t>
            </w:r>
          </w:p>
        </w:tc>
        <w:tc>
          <w:tcPr>
            <w:tcW w:type="dxa" w:w="3456"/>
            <w:vAlign w:val="top"/>
          </w:tcPr>
          <w:p>
            <w:pPr>
              <w:spacing w:after="0"/>
            </w:pPr>
            <w:r/>
            <w:r>
              <w:rPr>
                <w:rFonts w:ascii="Times New Roman" w:hAnsi="Times New Roman"/>
                <w:b w:val="0"/>
                <w:sz w:val="20"/>
              </w:rPr>
              <w:t>clean_panel_v1.csv, data dictionary, data audit summary.</w:t>
            </w:r>
          </w:p>
        </w:tc>
      </w:tr>
      <w:tr>
        <w:tc>
          <w:tcPr>
            <w:tcW w:type="dxa" w:w="1440"/>
            <w:vAlign w:val="top"/>
          </w:tcPr>
          <w:p>
            <w:pPr>
              <w:spacing w:after="0"/>
            </w:pPr>
            <w:r/>
            <w:r>
              <w:rPr>
                <w:rFonts w:ascii="Times New Roman" w:hAnsi="Times New Roman"/>
                <w:b w:val="0"/>
                <w:sz w:val="20"/>
              </w:rPr>
              <w:t>Weeks 5-6</w:t>
            </w:r>
          </w:p>
        </w:tc>
        <w:tc>
          <w:tcPr>
            <w:tcW w:type="dxa" w:w="5184"/>
            <w:vAlign w:val="top"/>
          </w:tcPr>
          <w:p>
            <w:pPr>
              <w:spacing w:after="0"/>
            </w:pPr>
            <w:r/>
            <w:r>
              <w:rPr>
                <w:rFonts w:ascii="Times New Roman" w:hAnsi="Times New Roman"/>
                <w:b w:val="0"/>
                <w:sz w:val="20"/>
              </w:rPr>
              <w:t>Implement OLS baseline and evaluation pipeline; verify walk-forward validation and metrics.</w:t>
            </w:r>
          </w:p>
        </w:tc>
        <w:tc>
          <w:tcPr>
            <w:tcW w:type="dxa" w:w="3456"/>
            <w:vAlign w:val="top"/>
          </w:tcPr>
          <w:p>
            <w:pPr>
              <w:spacing w:after="0"/>
            </w:pPr>
            <w:r/>
            <w:r>
              <w:rPr>
                <w:rFonts w:ascii="Times New Roman" w:hAnsi="Times New Roman"/>
                <w:b w:val="0"/>
                <w:sz w:val="20"/>
              </w:rPr>
              <w:t>Baseline results, evaluation scripts, first results table.</w:t>
            </w:r>
          </w:p>
        </w:tc>
      </w:tr>
      <w:tr>
        <w:tc>
          <w:tcPr>
            <w:tcW w:type="dxa" w:w="1440"/>
            <w:vAlign w:val="top"/>
          </w:tcPr>
          <w:p>
            <w:pPr>
              <w:spacing w:after="0"/>
            </w:pPr>
            <w:r/>
            <w:r>
              <w:rPr>
                <w:rFonts w:ascii="Times New Roman" w:hAnsi="Times New Roman"/>
                <w:b w:val="0"/>
                <w:sz w:val="20"/>
              </w:rPr>
              <w:t>Weeks 7-8</w:t>
            </w:r>
          </w:p>
        </w:tc>
        <w:tc>
          <w:tcPr>
            <w:tcW w:type="dxa" w:w="5184"/>
            <w:vAlign w:val="top"/>
          </w:tcPr>
          <w:p>
            <w:pPr>
              <w:spacing w:after="0"/>
            </w:pPr>
            <w:r/>
            <w:r>
              <w:rPr>
                <w:rFonts w:ascii="Times New Roman" w:hAnsi="Times New Roman"/>
                <w:b w:val="0"/>
                <w:sz w:val="20"/>
              </w:rPr>
              <w:t>Implement Random Forest and XGBoost; tune within training windows; run repeated random seeds.</w:t>
            </w:r>
          </w:p>
        </w:tc>
        <w:tc>
          <w:tcPr>
            <w:tcW w:type="dxa" w:w="3456"/>
            <w:vAlign w:val="top"/>
          </w:tcPr>
          <w:p>
            <w:pPr>
              <w:spacing w:after="0"/>
            </w:pPr>
            <w:r/>
            <w:r>
              <w:rPr>
                <w:rFonts w:ascii="Times New Roman" w:hAnsi="Times New Roman"/>
                <w:b w:val="0"/>
                <w:sz w:val="20"/>
              </w:rPr>
              <w:t>Model outputs, performance distributions, robustness summary.</w:t>
            </w:r>
          </w:p>
        </w:tc>
      </w:tr>
      <w:tr>
        <w:tc>
          <w:tcPr>
            <w:tcW w:type="dxa" w:w="1440"/>
            <w:vAlign w:val="top"/>
          </w:tcPr>
          <w:p>
            <w:pPr>
              <w:spacing w:after="0"/>
            </w:pPr>
            <w:r/>
            <w:r>
              <w:rPr>
                <w:rFonts w:ascii="Times New Roman" w:hAnsi="Times New Roman"/>
                <w:b w:val="0"/>
                <w:sz w:val="20"/>
              </w:rPr>
              <w:t>Weeks 9-10</w:t>
            </w:r>
          </w:p>
        </w:tc>
        <w:tc>
          <w:tcPr>
            <w:tcW w:type="dxa" w:w="5184"/>
            <w:vAlign w:val="top"/>
          </w:tcPr>
          <w:p>
            <w:pPr>
              <w:spacing w:after="0"/>
            </w:pPr>
            <w:r/>
            <w:r>
              <w:rPr>
                <w:rFonts w:ascii="Times New Roman" w:hAnsi="Times New Roman"/>
                <w:b w:val="0"/>
                <w:sz w:val="20"/>
              </w:rPr>
              <w:t>Conduct SHAP analysis; compare OLS coefficients and SHAP rankings; interpret financial meaning.</w:t>
            </w:r>
          </w:p>
        </w:tc>
        <w:tc>
          <w:tcPr>
            <w:tcW w:type="dxa" w:w="3456"/>
            <w:vAlign w:val="top"/>
          </w:tcPr>
          <w:p>
            <w:pPr>
              <w:spacing w:after="0"/>
            </w:pPr>
            <w:r/>
            <w:r>
              <w:rPr>
                <w:rFonts w:ascii="Times New Roman" w:hAnsi="Times New Roman"/>
                <w:b w:val="0"/>
                <w:sz w:val="20"/>
              </w:rPr>
              <w:t>SHAP plots, feature-importance tables, explanation notes.</w:t>
            </w:r>
          </w:p>
        </w:tc>
      </w:tr>
      <w:tr>
        <w:tc>
          <w:tcPr>
            <w:tcW w:type="dxa" w:w="1440"/>
            <w:vAlign w:val="top"/>
          </w:tcPr>
          <w:p>
            <w:pPr>
              <w:spacing w:after="0"/>
            </w:pPr>
            <w:r/>
            <w:r>
              <w:rPr>
                <w:rFonts w:ascii="Times New Roman" w:hAnsi="Times New Roman"/>
                <w:b w:val="0"/>
                <w:sz w:val="20"/>
              </w:rPr>
              <w:t>Weeks 11-12</w:t>
            </w:r>
          </w:p>
        </w:tc>
        <w:tc>
          <w:tcPr>
            <w:tcW w:type="dxa" w:w="5184"/>
            <w:vAlign w:val="top"/>
          </w:tcPr>
          <w:p>
            <w:pPr>
              <w:spacing w:after="0"/>
            </w:pPr>
            <w:r/>
            <w:r>
              <w:rPr>
                <w:rFonts w:ascii="Times New Roman" w:hAnsi="Times New Roman"/>
                <w:b w:val="0"/>
                <w:sz w:val="20"/>
              </w:rPr>
              <w:t>Write results, discussion, limitations, and conclusion; finalise code and documentation.</w:t>
            </w:r>
          </w:p>
        </w:tc>
        <w:tc>
          <w:tcPr>
            <w:tcW w:type="dxa" w:w="3456"/>
            <w:vAlign w:val="top"/>
          </w:tcPr>
          <w:p>
            <w:pPr>
              <w:spacing w:after="0"/>
            </w:pPr>
            <w:r/>
            <w:r>
              <w:rPr>
                <w:rFonts w:ascii="Times New Roman" w:hAnsi="Times New Roman"/>
                <w:b w:val="0"/>
                <w:sz w:val="20"/>
              </w:rPr>
              <w:t>Final dissertation, reproducible code repository without restricted raw data.</w:t>
            </w:r>
          </w:p>
        </w:tc>
      </w:tr>
    </w:tbl>
    <w:p>
      <w:pPr>
        <w:spacing w:after="0"/>
      </w:pPr>
    </w:p>
    <w:p>
      <w:pPr>
        <w:pStyle w:val="Heading1"/>
        <w:spacing w:before="120" w:after="80"/>
      </w:pPr>
      <w:r>
        <w:rPr>
          <w:rFonts w:ascii="Times New Roman" w:hAnsi="Times New Roman"/>
          <w:color w:val="1F4E79"/>
          <w:sz w:val="28"/>
        </w:rPr>
        <w:t>8. References (Preliminary)</w:t>
      </w:r>
    </w:p>
    <w:p>
      <w:pPr>
        <w:spacing w:after="60"/>
        <w:ind w:left="360" w:hanging="360"/>
      </w:pPr>
      <w:r>
        <w:rPr>
          <w:rFonts w:ascii="Times New Roman" w:hAnsi="Times New Roman"/>
          <w:sz w:val="22"/>
        </w:rPr>
        <w:t>Breiman, L. (2001). Random Forests. Machine Learning, 45(1), 5-32.</w:t>
      </w:r>
    </w:p>
    <w:p>
      <w:pPr>
        <w:spacing w:after="60"/>
        <w:ind w:left="360" w:hanging="360"/>
      </w:pPr>
      <w:r>
        <w:rPr>
          <w:rFonts w:ascii="Times New Roman" w:hAnsi="Times New Roman"/>
          <w:sz w:val="22"/>
        </w:rPr>
        <w:t>Chen, T., &amp; Guestrin, C. (2016). XGBoost: A Scalable Tree Boosting System. Proceedings of the 22nd ACM SIGKDD International Conference on Knowledge Discovery and Data Mining, 785-794.</w:t>
      </w:r>
    </w:p>
    <w:p>
      <w:pPr>
        <w:spacing w:after="60"/>
        <w:ind w:left="360" w:hanging="360"/>
      </w:pPr>
      <w:r>
        <w:rPr>
          <w:rFonts w:ascii="Times New Roman" w:hAnsi="Times New Roman"/>
          <w:sz w:val="22"/>
        </w:rPr>
        <w:t>Fama, E. F., &amp; French, K. R. (1992). The Cross-Section of Expected Stock Returns. Journal of Finance, 47(2), 427-465.</w:t>
      </w:r>
    </w:p>
    <w:p>
      <w:pPr>
        <w:spacing w:after="60"/>
        <w:ind w:left="360" w:hanging="360"/>
      </w:pPr>
      <w:r>
        <w:rPr>
          <w:rFonts w:ascii="Times New Roman" w:hAnsi="Times New Roman"/>
          <w:sz w:val="22"/>
        </w:rPr>
        <w:t>Gu, S., Kelly, B., &amp; Xiu, D. (2020). Empirical Asset Pricing via Machine Learning. Review of Financial Studies, 33(5), 2223-2273.</w:t>
      </w:r>
    </w:p>
    <w:p>
      <w:pPr>
        <w:spacing w:after="60"/>
        <w:ind w:left="360" w:hanging="360"/>
      </w:pPr>
      <w:r>
        <w:rPr>
          <w:rFonts w:ascii="Times New Roman" w:hAnsi="Times New Roman"/>
          <w:sz w:val="22"/>
        </w:rPr>
        <w:t>Hastie, T., Tibshirani, R., &amp; Friedman, J. (2009). The Elements of Statistical Learning. Springer.</w:t>
      </w:r>
    </w:p>
    <w:p>
      <w:pPr>
        <w:spacing w:after="60"/>
        <w:ind w:left="360" w:hanging="360"/>
      </w:pPr>
      <w:r>
        <w:rPr>
          <w:rFonts w:ascii="Times New Roman" w:hAnsi="Times New Roman"/>
          <w:sz w:val="22"/>
        </w:rPr>
        <w:t>Lundberg, S. M., &amp; Lee, S. I. (2017). A Unified Approach to Interpreting Model Predictions. Advances in Neural Information Processing Systems, 30.</w:t>
      </w:r>
    </w:p>
    <w:p>
      <w:pPr>
        <w:spacing w:after="60"/>
        <w:ind w:left="360" w:hanging="360"/>
      </w:pPr>
      <w:r>
        <w:rPr>
          <w:rFonts w:ascii="Times New Roman" w:hAnsi="Times New Roman"/>
          <w:sz w:val="22"/>
        </w:rPr>
        <w:t>Molnar, C. (2022). Interpretable Machine Learning: A Guide for Making Black Box Models Explainable, 2nd ed.</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