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星海科技差旅管理制度</w:t>
      </w:r>
    </w:p>
    <w:p>
      <w:pPr>
        <w:pStyle w:val="Heading2"/>
      </w:pPr>
      <w:r>
        <w:t>一、住宿标准</w:t>
      </w:r>
    </w:p>
    <w:p>
      <w:r>
        <w:t>一线城市每晚不超过600元，二线城市不超过450元，其他城市不超过350元。</w:t>
      </w:r>
    </w:p>
    <w:p>
      <w:r>
        <w:t>超标部分须事先取得部门总监书面批准，报销时附批准邮件截图。</w:t>
      </w:r>
    </w:p>
    <w:p>
      <w:pPr>
        <w:pStyle w:val="Heading2"/>
      </w:pPr>
      <w:r>
        <w:t>二、交通标准</w:t>
      </w:r>
    </w:p>
    <w:p>
      <w:r>
        <w:t>市内交通凭票实报；高铁乘坐二等座；飞机乘坐经济舱，飞行时间超过5小时可乘公务舱。</w:t>
      </w:r>
    </w:p>
    <w:p>
      <w:pPr>
        <w:pStyle w:val="Heading2"/>
      </w:pPr>
      <w:r>
        <w:t>三、审批权限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城市级别</w:t>
            </w:r>
          </w:p>
        </w:tc>
        <w:tc>
          <w:tcPr>
            <w:tcW w:type="dxa" w:w="2880"/>
          </w:tcPr>
          <w:p>
            <w:r>
              <w:t>住宿上限</w:t>
            </w:r>
          </w:p>
        </w:tc>
        <w:tc>
          <w:tcPr>
            <w:tcW w:type="dxa" w:w="2880"/>
          </w:tcPr>
          <w:p>
            <w:r>
              <w:t>审批人</w:t>
            </w:r>
          </w:p>
        </w:tc>
      </w:tr>
      <w:tr>
        <w:tc>
          <w:tcPr>
            <w:tcW w:type="dxa" w:w="2880"/>
          </w:tcPr>
          <w:p>
            <w:r>
              <w:t>一线</w:t>
            </w:r>
          </w:p>
        </w:tc>
        <w:tc>
          <w:tcPr>
            <w:tcW w:type="dxa" w:w="2880"/>
          </w:tcPr>
          <w:p>
            <w:r>
              <w:t>600元/晚</w:t>
            </w:r>
          </w:p>
        </w:tc>
        <w:tc>
          <w:tcPr>
            <w:tcW w:type="dxa" w:w="2880"/>
          </w:tcPr>
          <w:p>
            <w:r>
              <w:t>部门总监</w:t>
            </w:r>
          </w:p>
        </w:tc>
      </w:tr>
      <w:tr>
        <w:tc>
          <w:tcPr>
            <w:tcW w:type="dxa" w:w="2880"/>
          </w:tcPr>
          <w:p>
            <w:r>
              <w:t>二线</w:t>
            </w:r>
          </w:p>
        </w:tc>
        <w:tc>
          <w:tcPr>
            <w:tcW w:type="dxa" w:w="2880"/>
          </w:tcPr>
          <w:p>
            <w:r>
              <w:t>450元/晚</w:t>
            </w:r>
          </w:p>
        </w:tc>
        <w:tc>
          <w:tcPr>
            <w:tcW w:type="dxa" w:w="2880"/>
          </w:tcPr>
          <w:p>
            <w:r>
              <w:t>部门经理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