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宋体" w:hAnsi="宋体" w:eastAsia="宋体"/>
          <w:b/>
          <w:sz w:val="30"/>
        </w:rPr>
        <w:t>第六章  光伏废水智能运维浏览页设计与工程应用</w:t>
      </w:r>
    </w:p>
    <w:p/>
    <w:p>
      <w:pPr>
        <w:pStyle w:val="Heading1"/>
      </w:pPr>
      <w:r>
        <w:rPr>
          <w:rFonts w:ascii="黑体" w:hAnsi="黑体" w:eastAsia="黑体"/>
        </w:rPr>
        <w:t>6.1  浏览页需求分析与总体设计</w:t>
      </w:r>
    </w:p>
    <w:p>
      <w:pPr>
        <w:pStyle w:val="Heading2"/>
      </w:pPr>
      <w:r>
        <w:rPr>
          <w:rFonts w:ascii="黑体" w:hAnsi="黑体" w:eastAsia="黑体"/>
        </w:rPr>
        <w:t>6.1.1  操作工运维痛点与功能需求分析</w:t>
      </w:r>
    </w:p>
    <w:p>
      <w:pPr>
        <w:ind w:firstLine="420"/>
      </w:pPr>
      <w:r>
        <w:rPr>
          <w:rFonts w:ascii="宋体" w:hAnsi="宋体" w:eastAsia="宋体"/>
          <w:b w:val="0"/>
        </w:rPr>
        <w:t>在某新能源公司实习期间，通过对中控室操作工的日常观察与深入访谈，归纳出光伏废水运维中存在的三个核心痛点。</w:t>
      </w:r>
    </w:p>
    <w:p>
      <w:pPr>
        <w:ind w:firstLine="420"/>
      </w:pPr>
      <w:r>
        <w:rPr>
          <w:rFonts w:ascii="宋体" w:hAnsi="宋体" w:eastAsia="宋体"/>
          <w:b w:val="0"/>
        </w:rPr>
        <w:t>痛点一：加药控制依赖个人经验，缺乏数据支撑。操作工依据人工检测获取的水质数据，凭借经验调整聚合氯化铝（PAC）、聚丙烯酰胺（PAM）、石灰、硫酸的投加量。由于原系统未配备在线水质传感器反馈闭环，加药量的调整完全依赖操作工的个人判断。访谈记录显示，同一位操作工在相似水质条件下，两次加药调整的偏差可达15%以上；不同班次的操作工之间差异更为显著。由此导致的直接后果是：药剂过量投加造成不必要的物料浪费（经测算，月药剂浪费率约为15%），而药剂不足则导致出水水质波动，增加超标排放风险。</w:t>
      </w:r>
    </w:p>
    <w:p>
      <w:pPr>
        <w:ind w:firstLine="420"/>
      </w:pPr>
      <w:r>
        <w:rPr>
          <w:rFonts w:ascii="宋体" w:hAnsi="宋体" w:eastAsia="宋体"/>
          <w:b w:val="0"/>
        </w:rPr>
        <w:t>痛点二：异常工况排查依赖老员工经验，新人上手困难。当出现出水化学需氧量（COD）突然升高、反渗透（RO）膜压差异常上升或混凝沉淀效果下降等异常情况时，排查过程通常依赖工龄五年以上的资深操作工逐项排查——包括确认是否有车间排放大、加药泵是否堵塞、升流式厌氧污泥床（UASB）进水pH是否过低、溶解氧（DO）是否不足等。这一排查过程平均耗时约45分钟，且对入职不足一年的新操作工极不友好。据访谈记录，新入职操作工通常需要6个月以上的跟班学习才能初步建立独立排查能力，在此期间异常处置高度依赖当班老员工的经验储备。</w:t>
      </w:r>
    </w:p>
    <w:p>
      <w:pPr>
        <w:ind w:firstLine="420"/>
      </w:pPr>
      <w:r>
        <w:rPr>
          <w:rFonts w:ascii="宋体" w:hAnsi="宋体" w:eastAsia="宋体"/>
          <w:b w:val="0"/>
        </w:rPr>
        <w:t>痛点三：成本波动无法实时感知，管理层缺少数据抓手。吨水处理成本的波动（药剂费、电耗、膜更换均摊、污泥处置）缺乏实时汇总工具，管理层通常每月末方能从财务报表中获知成本状况。当某月药剂成本异常偏高时，难以追溯至具体工艺环节与时间区段，导致问题定位滞后、纠正措施迟缓。</w:t>
      </w:r>
    </w:p>
    <w:p>
      <w:pPr>
        <w:ind w:firstLine="420"/>
      </w:pPr>
      <w:r>
        <w:rPr>
          <w:rFonts w:ascii="宋体" w:hAnsi="宋体" w:eastAsia="宋体"/>
          <w:b w:val="0"/>
        </w:rPr>
        <w:t>基于上述痛点诊断，浏览页的功能需求定义如表6-1所示。</w:t>
      </w:r>
    </w:p>
    <w:p>
      <w:pPr>
        <w:jc w:val="center"/>
      </w:pPr>
      <w:r>
        <w:rPr>
          <w:rFonts w:ascii="宋体" w:hAnsi="宋体" w:eastAsia="宋体"/>
          <w:b/>
        </w:rPr>
        <w:t>表6-1  操作工运维痛点与浏览页功能需求映射关系</w:t>
      </w:r>
    </w:p>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
              <w:rPr>
                <w:rFonts w:ascii="宋体" w:hAnsi="宋体" w:eastAsia="宋体"/>
                <w:b/>
                <w:sz w:val="16"/>
              </w:rPr>
              <w:t>序号</w:t>
            </w:r>
          </w:p>
        </w:tc>
        <w:tc>
          <w:tcPr>
            <w:tcW w:type="dxa" w:w="2158"/>
          </w:tcPr>
          <w:p>
            <w:pPr>
              <w:jc w:val="center"/>
            </w:pPr>
            <w:r/>
            <w:r>
              <w:rPr>
                <w:rFonts w:ascii="宋体" w:hAnsi="宋体" w:eastAsia="宋体"/>
                <w:b/>
                <w:sz w:val="16"/>
              </w:rPr>
              <w:t>运维痛点</w:t>
            </w:r>
          </w:p>
        </w:tc>
        <w:tc>
          <w:tcPr>
            <w:tcW w:type="dxa" w:w="2158"/>
          </w:tcPr>
          <w:p>
            <w:pPr>
              <w:jc w:val="center"/>
            </w:pPr>
            <w:r/>
            <w:r>
              <w:rPr>
                <w:rFonts w:ascii="宋体" w:hAnsi="宋体" w:eastAsia="宋体"/>
                <w:b/>
                <w:sz w:val="16"/>
              </w:rPr>
              <w:t>功能需求</w:t>
            </w:r>
          </w:p>
        </w:tc>
        <w:tc>
          <w:tcPr>
            <w:tcW w:type="dxa" w:w="2158"/>
          </w:tcPr>
          <w:p>
            <w:pPr>
              <w:jc w:val="center"/>
            </w:pPr>
            <w:r/>
            <w:r>
              <w:rPr>
                <w:rFonts w:ascii="宋体" w:hAnsi="宋体" w:eastAsia="宋体"/>
                <w:b/>
                <w:sz w:val="16"/>
              </w:rPr>
              <w:t>对应浏览页Tab</w:t>
            </w:r>
          </w:p>
        </w:tc>
      </w:tr>
      <w:tr>
        <w:tc>
          <w:tcPr>
            <w:tcW w:type="dxa" w:w="2158"/>
          </w:tcPr>
          <w:p>
            <w:pPr>
              <w:jc w:val="center"/>
            </w:pPr>
            <w:r/>
            <w:r>
              <w:rPr>
                <w:rFonts w:ascii="宋体" w:hAnsi="宋体" w:eastAsia="宋体"/>
                <w:sz w:val="16"/>
              </w:rPr>
              <w:t>1</w:t>
            </w:r>
          </w:p>
        </w:tc>
        <w:tc>
          <w:tcPr>
            <w:tcW w:type="dxa" w:w="2158"/>
          </w:tcPr>
          <w:p>
            <w:pPr>
              <w:jc w:val="center"/>
            </w:pPr>
            <w:r/>
            <w:r>
              <w:rPr>
                <w:rFonts w:ascii="宋体" w:hAnsi="宋体" w:eastAsia="宋体"/>
                <w:sz w:val="16"/>
              </w:rPr>
              <w:t>加药靠经验无数据支撑</w:t>
            </w:r>
          </w:p>
        </w:tc>
        <w:tc>
          <w:tcPr>
            <w:tcW w:type="dxa" w:w="2158"/>
          </w:tcPr>
          <w:p>
            <w:pPr>
              <w:jc w:val="center"/>
            </w:pPr>
            <w:r/>
            <w:r>
              <w:rPr>
                <w:rFonts w:ascii="宋体" w:hAnsi="宋体" w:eastAsia="宋体"/>
                <w:sz w:val="16"/>
              </w:rPr>
              <w:t>根据当前水质自动推荐PAC、PAM、石灰、硫酸四种药剂的加药量及95%置信区间</w:t>
            </w:r>
          </w:p>
        </w:tc>
        <w:tc>
          <w:tcPr>
            <w:tcW w:type="dxa" w:w="2158"/>
          </w:tcPr>
          <w:p>
            <w:pPr>
              <w:jc w:val="center"/>
            </w:pPr>
            <w:r/>
            <w:r>
              <w:rPr>
                <w:rFonts w:ascii="宋体" w:hAnsi="宋体" w:eastAsia="宋体"/>
                <w:sz w:val="16"/>
              </w:rPr>
              <w:t>② 加药推荐</w:t>
            </w:r>
          </w:p>
        </w:tc>
      </w:tr>
      <w:tr>
        <w:tc>
          <w:tcPr>
            <w:tcW w:type="dxa" w:w="2158"/>
          </w:tcPr>
          <w:p>
            <w:pPr>
              <w:jc w:val="center"/>
            </w:pPr>
            <w:r/>
            <w:r>
              <w:rPr>
                <w:rFonts w:ascii="宋体" w:hAnsi="宋体" w:eastAsia="宋体"/>
                <w:sz w:val="16"/>
              </w:rPr>
              <w:t>2</w:t>
            </w:r>
          </w:p>
        </w:tc>
        <w:tc>
          <w:tcPr>
            <w:tcW w:type="dxa" w:w="2158"/>
          </w:tcPr>
          <w:p>
            <w:pPr>
              <w:jc w:val="center"/>
            </w:pPr>
            <w:r/>
            <w:r>
              <w:rPr>
                <w:rFonts w:ascii="宋体" w:hAnsi="宋体" w:eastAsia="宋体"/>
                <w:sz w:val="16"/>
              </w:rPr>
              <w:t>异常排查依赖老员工</w:t>
            </w:r>
          </w:p>
        </w:tc>
        <w:tc>
          <w:tcPr>
            <w:tcW w:type="dxa" w:w="2158"/>
          </w:tcPr>
          <w:p>
            <w:pPr>
              <w:jc w:val="center"/>
            </w:pPr>
            <w:r/>
            <w:r>
              <w:rPr>
                <w:rFonts w:ascii="宋体" w:hAnsi="宋体" w:eastAsia="宋体"/>
                <w:sz w:val="16"/>
              </w:rPr>
              <w:t>自然语言输入异常现象，系统基于运维知识库返回排查步骤与历史案例引用</w:t>
            </w:r>
          </w:p>
        </w:tc>
        <w:tc>
          <w:tcPr>
            <w:tcW w:type="dxa" w:w="2158"/>
          </w:tcPr>
          <w:p>
            <w:pPr>
              <w:jc w:val="center"/>
            </w:pPr>
            <w:r/>
            <w:r>
              <w:rPr>
                <w:rFonts w:ascii="宋体" w:hAnsi="宋体" w:eastAsia="宋体"/>
                <w:sz w:val="16"/>
              </w:rPr>
              <w:t>⑥ AI助手</w:t>
            </w:r>
          </w:p>
        </w:tc>
      </w:tr>
      <w:tr>
        <w:tc>
          <w:tcPr>
            <w:tcW w:type="dxa" w:w="2158"/>
          </w:tcPr>
          <w:p>
            <w:pPr>
              <w:jc w:val="center"/>
            </w:pPr>
            <w:r/>
            <w:r>
              <w:rPr>
                <w:rFonts w:ascii="宋体" w:hAnsi="宋体" w:eastAsia="宋体"/>
                <w:sz w:val="16"/>
              </w:rPr>
              <w:t>3</w:t>
            </w:r>
          </w:p>
        </w:tc>
        <w:tc>
          <w:tcPr>
            <w:tcW w:type="dxa" w:w="2158"/>
          </w:tcPr>
          <w:p>
            <w:pPr>
              <w:jc w:val="center"/>
            </w:pPr>
            <w:r/>
            <w:r>
              <w:rPr>
                <w:rFonts w:ascii="宋体" w:hAnsi="宋体" w:eastAsia="宋体"/>
                <w:sz w:val="16"/>
              </w:rPr>
              <w:t>成本无法实时感知</w:t>
            </w:r>
          </w:p>
        </w:tc>
        <w:tc>
          <w:tcPr>
            <w:tcW w:type="dxa" w:w="2158"/>
          </w:tcPr>
          <w:p>
            <w:pPr>
              <w:jc w:val="center"/>
            </w:pPr>
            <w:r/>
            <w:r>
              <w:rPr>
                <w:rFonts w:ascii="宋体" w:hAnsi="宋体" w:eastAsia="宋体"/>
                <w:sz w:val="16"/>
              </w:rPr>
              <w:t>当日吨水成本仪表盘、7日趋势图、月度报表导出</w:t>
            </w:r>
          </w:p>
        </w:tc>
        <w:tc>
          <w:tcPr>
            <w:tcW w:type="dxa" w:w="2158"/>
          </w:tcPr>
          <w:p>
            <w:pPr>
              <w:jc w:val="center"/>
            </w:pPr>
            <w:r/>
            <w:r>
              <w:rPr>
                <w:rFonts w:ascii="宋体" w:hAnsi="宋体" w:eastAsia="宋体"/>
                <w:sz w:val="16"/>
              </w:rPr>
              <w:t>⑦ 成本看板</w:t>
            </w:r>
          </w:p>
        </w:tc>
      </w:tr>
      <w:tr>
        <w:tc>
          <w:tcPr>
            <w:tcW w:type="dxa" w:w="2158"/>
          </w:tcPr>
          <w:p>
            <w:pPr>
              <w:jc w:val="center"/>
            </w:pPr>
            <w:r/>
            <w:r>
              <w:rPr>
                <w:rFonts w:ascii="宋体" w:hAnsi="宋体" w:eastAsia="宋体"/>
                <w:sz w:val="16"/>
              </w:rPr>
              <w:t>4</w:t>
            </w:r>
          </w:p>
        </w:tc>
        <w:tc>
          <w:tcPr>
            <w:tcW w:type="dxa" w:w="2158"/>
          </w:tcPr>
          <w:p>
            <w:pPr>
              <w:jc w:val="center"/>
            </w:pPr>
            <w:r/>
            <w:r>
              <w:rPr>
                <w:rFonts w:ascii="宋体" w:hAnsi="宋体" w:eastAsia="宋体"/>
                <w:sz w:val="16"/>
              </w:rPr>
              <w:t>水质异常发现不及时</w:t>
            </w:r>
          </w:p>
        </w:tc>
        <w:tc>
          <w:tcPr>
            <w:tcW w:type="dxa" w:w="2158"/>
          </w:tcPr>
          <w:p>
            <w:pPr>
              <w:jc w:val="center"/>
            </w:pPr>
            <w:r/>
            <w:r>
              <w:rPr>
                <w:rFonts w:ascii="宋体" w:hAnsi="宋体" w:eastAsia="宋体"/>
                <w:sz w:val="16"/>
              </w:rPr>
              <w:t>六大指标实时折线图监控，超标三色灯（绿/黄/红）预警</w:t>
            </w:r>
          </w:p>
        </w:tc>
        <w:tc>
          <w:tcPr>
            <w:tcW w:type="dxa" w:w="2158"/>
          </w:tcPr>
          <w:p>
            <w:pPr>
              <w:jc w:val="center"/>
            </w:pPr>
            <w:r/>
            <w:r>
              <w:rPr>
                <w:rFonts w:ascii="宋体" w:hAnsi="宋体" w:eastAsia="宋体"/>
                <w:sz w:val="16"/>
              </w:rPr>
              <w:t>① 监控总览</w:t>
            </w:r>
          </w:p>
        </w:tc>
      </w:tr>
      <w:tr>
        <w:tc>
          <w:tcPr>
            <w:tcW w:type="dxa" w:w="2158"/>
          </w:tcPr>
          <w:p>
            <w:pPr>
              <w:jc w:val="center"/>
            </w:pPr>
            <w:r/>
            <w:r>
              <w:rPr>
                <w:rFonts w:ascii="宋体" w:hAnsi="宋体" w:eastAsia="宋体"/>
                <w:sz w:val="16"/>
              </w:rPr>
              <w:t>5</w:t>
            </w:r>
          </w:p>
        </w:tc>
        <w:tc>
          <w:tcPr>
            <w:tcW w:type="dxa" w:w="2158"/>
          </w:tcPr>
          <w:p>
            <w:pPr>
              <w:jc w:val="center"/>
            </w:pPr>
            <w:r/>
            <w:r>
              <w:rPr>
                <w:rFonts w:ascii="宋体" w:hAnsi="宋体" w:eastAsia="宋体"/>
                <w:sz w:val="16"/>
              </w:rPr>
              <w:t>工艺参数无系统优化工具</w:t>
            </w:r>
          </w:p>
        </w:tc>
        <w:tc>
          <w:tcPr>
            <w:tcW w:type="dxa" w:w="2158"/>
          </w:tcPr>
          <w:p>
            <w:pPr>
              <w:jc w:val="center"/>
            </w:pPr>
            <w:r/>
            <w:r>
              <w:rPr>
                <w:rFonts w:ascii="宋体" w:hAnsi="宋体" w:eastAsia="宋体"/>
                <w:sz w:val="16"/>
              </w:rPr>
              <w:t>五维权重自定义，GRA-TOPSIS模型输出最优参数组合</w:t>
            </w:r>
          </w:p>
        </w:tc>
        <w:tc>
          <w:tcPr>
            <w:tcW w:type="dxa" w:w="2158"/>
          </w:tcPr>
          <w:p>
            <w:pPr>
              <w:jc w:val="center"/>
            </w:pPr>
            <w:r/>
            <w:r>
              <w:rPr>
                <w:rFonts w:ascii="宋体" w:hAnsi="宋体" w:eastAsia="宋体"/>
                <w:sz w:val="16"/>
              </w:rPr>
              <w:t>③ 优选参数</w:t>
            </w:r>
          </w:p>
        </w:tc>
      </w:tr>
      <w:tr>
        <w:tc>
          <w:tcPr>
            <w:tcW w:type="dxa" w:w="2158"/>
          </w:tcPr>
          <w:p>
            <w:pPr>
              <w:jc w:val="center"/>
            </w:pPr>
            <w:r/>
            <w:r>
              <w:rPr>
                <w:rFonts w:ascii="宋体" w:hAnsi="宋体" w:eastAsia="宋体"/>
                <w:sz w:val="16"/>
              </w:rPr>
              <w:t>6</w:t>
            </w:r>
          </w:p>
        </w:tc>
        <w:tc>
          <w:tcPr>
            <w:tcW w:type="dxa" w:w="2158"/>
          </w:tcPr>
          <w:p>
            <w:pPr>
              <w:jc w:val="center"/>
            </w:pPr>
            <w:r/>
            <w:r>
              <w:rPr>
                <w:rFonts w:ascii="宋体" w:hAnsi="宋体" w:eastAsia="宋体"/>
                <w:sz w:val="16"/>
              </w:rPr>
              <w:t>PID控制器参数调优困难</w:t>
            </w:r>
          </w:p>
        </w:tc>
        <w:tc>
          <w:tcPr>
            <w:tcW w:type="dxa" w:w="2158"/>
          </w:tcPr>
          <w:p>
            <w:pPr>
              <w:jc w:val="center"/>
            </w:pPr>
            <w:r/>
            <w:r>
              <w:rPr>
                <w:rFonts w:ascii="宋体" w:hAnsi="宋体" w:eastAsia="宋体"/>
                <w:sz w:val="16"/>
              </w:rPr>
              <w:t>PSO自动寻优隶属度函数，标准PID/手动模糊PID/PSO-模糊PID三联性能对比</w:t>
            </w:r>
          </w:p>
        </w:tc>
        <w:tc>
          <w:tcPr>
            <w:tcW w:type="dxa" w:w="2158"/>
          </w:tcPr>
          <w:p>
            <w:pPr>
              <w:jc w:val="center"/>
            </w:pPr>
            <w:r/>
            <w:r>
              <w:rPr>
                <w:rFonts w:ascii="宋体" w:hAnsi="宋体" w:eastAsia="宋体"/>
                <w:sz w:val="16"/>
              </w:rPr>
              <w:t>④ 控制调参</w:t>
            </w:r>
          </w:p>
        </w:tc>
      </w:tr>
      <w:tr>
        <w:tc>
          <w:tcPr>
            <w:tcW w:type="dxa" w:w="2158"/>
          </w:tcPr>
          <w:p>
            <w:pPr>
              <w:jc w:val="center"/>
            </w:pPr>
            <w:r/>
            <w:r>
              <w:rPr>
                <w:rFonts w:ascii="宋体" w:hAnsi="宋体" w:eastAsia="宋体"/>
                <w:sz w:val="16"/>
              </w:rPr>
              <w:t>7</w:t>
            </w:r>
          </w:p>
        </w:tc>
        <w:tc>
          <w:tcPr>
            <w:tcW w:type="dxa" w:w="2158"/>
          </w:tcPr>
          <w:p>
            <w:pPr>
              <w:jc w:val="center"/>
            </w:pPr>
            <w:r/>
            <w:r>
              <w:rPr>
                <w:rFonts w:ascii="宋体" w:hAnsi="宋体" w:eastAsia="宋体"/>
                <w:sz w:val="16"/>
              </w:rPr>
              <w:t>RO膜运行状态存在监测盲区</w:t>
            </w:r>
          </w:p>
        </w:tc>
        <w:tc>
          <w:tcPr>
            <w:tcW w:type="dxa" w:w="2158"/>
          </w:tcPr>
          <w:p>
            <w:pPr>
              <w:jc w:val="center"/>
            </w:pPr>
            <w:r/>
            <w:r>
              <w:rPr>
                <w:rFonts w:ascii="宋体" w:hAnsi="宋体" w:eastAsia="宋体"/>
                <w:sz w:val="16"/>
              </w:rPr>
              <w:t>跨膜压差（TMP）衰减曲线、反洗倒计时、浓水回用率仪表盘</w:t>
            </w:r>
          </w:p>
        </w:tc>
        <w:tc>
          <w:tcPr>
            <w:tcW w:type="dxa" w:w="2158"/>
          </w:tcPr>
          <w:p>
            <w:pPr>
              <w:jc w:val="center"/>
            </w:pPr>
            <w:r/>
            <w:r>
              <w:rPr>
                <w:rFonts w:ascii="宋体" w:hAnsi="宋体" w:eastAsia="宋体"/>
                <w:sz w:val="16"/>
              </w:rPr>
              <w:t>⑤ 设备监测</w:t>
            </w:r>
          </w:p>
        </w:tc>
      </w:tr>
      <w:tr>
        <w:tc>
          <w:tcPr>
            <w:tcW w:type="dxa" w:w="2158"/>
          </w:tcPr>
          <w:p>
            <w:pPr>
              <w:jc w:val="center"/>
            </w:pPr>
            <w:r/>
            <w:r>
              <w:rPr>
                <w:rFonts w:ascii="宋体" w:hAnsi="宋体" w:eastAsia="宋体"/>
                <w:sz w:val="16"/>
              </w:rPr>
              <w:t>8</w:t>
            </w:r>
          </w:p>
        </w:tc>
        <w:tc>
          <w:tcPr>
            <w:tcW w:type="dxa" w:w="2158"/>
          </w:tcPr>
          <w:p>
            <w:pPr>
              <w:jc w:val="center"/>
            </w:pPr>
            <w:r/>
            <w:r>
              <w:rPr>
                <w:rFonts w:ascii="宋体" w:hAnsi="宋体" w:eastAsia="宋体"/>
                <w:sz w:val="16"/>
              </w:rPr>
              <w:t>异常工况发现后通知不及时</w:t>
            </w:r>
          </w:p>
        </w:tc>
        <w:tc>
          <w:tcPr>
            <w:tcW w:type="dxa" w:w="2158"/>
          </w:tcPr>
          <w:p>
            <w:pPr>
              <w:jc w:val="center"/>
            </w:pPr>
            <w:r/>
            <w:r>
              <w:rPr>
                <w:rFonts w:ascii="宋体" w:hAnsi="宋体" w:eastAsia="宋体"/>
                <w:sz w:val="16"/>
              </w:rPr>
              <w:t>COD/NH₃-N超标、成本偏高、RO膜预警等触发企业微信消息推送</w:t>
            </w:r>
          </w:p>
        </w:tc>
        <w:tc>
          <w:tcPr>
            <w:tcW w:type="dxa" w:w="2158"/>
          </w:tcPr>
          <w:p>
            <w:pPr>
              <w:jc w:val="center"/>
            </w:pPr>
            <w:r/>
            <w:r>
              <w:rPr>
                <w:rFonts w:ascii="宋体" w:hAnsi="宋体" w:eastAsia="宋体"/>
                <w:sz w:val="16"/>
              </w:rPr>
              <w:t>⑧ 推送设置</w:t>
            </w:r>
          </w:p>
        </w:tc>
      </w:tr>
    </w:tbl>
    <w:p/>
    <w:p>
      <w:pPr>
        <w:pStyle w:val="Heading2"/>
      </w:pPr>
      <w:r>
        <w:rPr>
          <w:rFonts w:ascii="黑体" w:hAnsi="黑体" w:eastAsia="黑体"/>
        </w:rPr>
        <w:t>6.1.2  浏览页技术选型与架构设计</w:t>
      </w:r>
    </w:p>
    <w:p>
      <w:pPr>
        <w:ind w:firstLine="420"/>
      </w:pPr>
      <w:r>
        <w:rPr>
          <w:rFonts w:ascii="宋体" w:hAnsi="宋体" w:eastAsia="宋体"/>
          <w:b w:val="0"/>
        </w:rPr>
        <w:t>浏览页的开发目标明确为：在中控室Windows工作站上部署一个浏览器可访问的单页面应用（Single Page Application），操作工无需安装任何额外软件即可通过浏览器使用全部功能。基于此目标，技术选型如表6-2所示。</w:t>
      </w:r>
    </w:p>
    <w:p>
      <w:pPr>
        <w:jc w:val="center"/>
      </w:pPr>
      <w:r>
        <w:rPr>
          <w:rFonts w:ascii="宋体" w:hAnsi="宋体" w:eastAsia="宋体"/>
          <w:b/>
        </w:rPr>
        <w:t>表6-2  浏览页技术选型方案对比</w:t>
      </w:r>
    </w:p>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
              <w:rPr>
                <w:rFonts w:ascii="宋体" w:hAnsi="宋体" w:eastAsia="宋体"/>
                <w:b/>
                <w:sz w:val="16"/>
              </w:rPr>
              <w:t>组件</w:t>
            </w:r>
          </w:p>
        </w:tc>
        <w:tc>
          <w:tcPr>
            <w:tcW w:type="dxa" w:w="2158"/>
          </w:tcPr>
          <w:p>
            <w:pPr>
              <w:jc w:val="center"/>
            </w:pPr>
            <w:r/>
            <w:r>
              <w:rPr>
                <w:rFonts w:ascii="宋体" w:hAnsi="宋体" w:eastAsia="宋体"/>
                <w:b/>
                <w:sz w:val="16"/>
              </w:rPr>
              <w:t>候选方案</w:t>
            </w:r>
          </w:p>
        </w:tc>
        <w:tc>
          <w:tcPr>
            <w:tcW w:type="dxa" w:w="2158"/>
          </w:tcPr>
          <w:p>
            <w:pPr>
              <w:jc w:val="center"/>
            </w:pPr>
            <w:r/>
            <w:r>
              <w:rPr>
                <w:rFonts w:ascii="宋体" w:hAnsi="宋体" w:eastAsia="宋体"/>
                <w:b/>
                <w:sz w:val="16"/>
              </w:rPr>
              <w:t>选用方案</w:t>
            </w:r>
          </w:p>
        </w:tc>
        <w:tc>
          <w:tcPr>
            <w:tcW w:type="dxa" w:w="2158"/>
          </w:tcPr>
          <w:p>
            <w:pPr>
              <w:jc w:val="center"/>
            </w:pPr>
            <w:r/>
            <w:r>
              <w:rPr>
                <w:rFonts w:ascii="宋体" w:hAnsi="宋体" w:eastAsia="宋体"/>
                <w:b/>
                <w:sz w:val="16"/>
              </w:rPr>
              <w:t>选择理由</w:t>
            </w:r>
          </w:p>
        </w:tc>
      </w:tr>
      <w:tr>
        <w:tc>
          <w:tcPr>
            <w:tcW w:type="dxa" w:w="2158"/>
          </w:tcPr>
          <w:p>
            <w:pPr>
              <w:jc w:val="center"/>
            </w:pPr>
            <w:r/>
            <w:r>
              <w:rPr>
                <w:rFonts w:ascii="宋体" w:hAnsi="宋体" w:eastAsia="宋体"/>
                <w:sz w:val="16"/>
              </w:rPr>
              <w:t>前端框架</w:t>
            </w:r>
          </w:p>
        </w:tc>
        <w:tc>
          <w:tcPr>
            <w:tcW w:type="dxa" w:w="2158"/>
          </w:tcPr>
          <w:p>
            <w:pPr>
              <w:jc w:val="center"/>
            </w:pPr>
            <w:r/>
            <w:r>
              <w:rPr>
                <w:rFonts w:ascii="宋体" w:hAnsi="宋体" w:eastAsia="宋体"/>
                <w:sz w:val="16"/>
              </w:rPr>
              <w:t>Streamlit / Flask+Dash</w:t>
            </w:r>
          </w:p>
        </w:tc>
        <w:tc>
          <w:tcPr>
            <w:tcW w:type="dxa" w:w="2158"/>
          </w:tcPr>
          <w:p>
            <w:pPr>
              <w:jc w:val="center"/>
            </w:pPr>
            <w:r/>
            <w:r>
              <w:rPr>
                <w:rFonts w:ascii="宋体" w:hAnsi="宋体" w:eastAsia="宋体"/>
                <w:sz w:val="16"/>
              </w:rPr>
              <w:t>Streamlit</w:t>
            </w:r>
          </w:p>
        </w:tc>
        <w:tc>
          <w:tcPr>
            <w:tcW w:type="dxa" w:w="2158"/>
          </w:tcPr>
          <w:p>
            <w:pPr>
              <w:jc w:val="center"/>
            </w:pPr>
            <w:r/>
            <w:r>
              <w:rPr>
                <w:rFonts w:ascii="宋体" w:hAnsi="宋体" w:eastAsia="宋体"/>
                <w:sz w:val="16"/>
              </w:rPr>
              <w:t>与已有v1.0（物化控制模型）兼容，Python原生无缝对接后端三条模型（Stacked、GRA-TOPSIS、PSO-模糊PID），内置st.line_chart、st.metric、st.slider等组件可直接实现实时图表、仪表盘和交互控件</w:t>
            </w:r>
          </w:p>
        </w:tc>
      </w:tr>
      <w:tr>
        <w:tc>
          <w:tcPr>
            <w:tcW w:type="dxa" w:w="2158"/>
          </w:tcPr>
          <w:p>
            <w:pPr>
              <w:jc w:val="center"/>
            </w:pPr>
            <w:r/>
            <w:r>
              <w:rPr>
                <w:rFonts w:ascii="宋体" w:hAnsi="宋体" w:eastAsia="宋体"/>
                <w:sz w:val="16"/>
              </w:rPr>
              <w:t>数据存储</w:t>
            </w:r>
          </w:p>
        </w:tc>
        <w:tc>
          <w:tcPr>
            <w:tcW w:type="dxa" w:w="2158"/>
          </w:tcPr>
          <w:p>
            <w:pPr>
              <w:jc w:val="center"/>
            </w:pPr>
            <w:r/>
            <w:r>
              <w:rPr>
                <w:rFonts w:ascii="宋体" w:hAnsi="宋体" w:eastAsia="宋体"/>
                <w:sz w:val="16"/>
              </w:rPr>
              <w:t>SQLite / MySQL</w:t>
            </w:r>
          </w:p>
        </w:tc>
        <w:tc>
          <w:tcPr>
            <w:tcW w:type="dxa" w:w="2158"/>
          </w:tcPr>
          <w:p>
            <w:pPr>
              <w:jc w:val="center"/>
            </w:pPr>
            <w:r/>
            <w:r>
              <w:rPr>
                <w:rFonts w:ascii="宋体" w:hAnsi="宋体" w:eastAsia="宋体"/>
                <w:sz w:val="16"/>
              </w:rPr>
              <w:t>SQLite</w:t>
            </w:r>
          </w:p>
        </w:tc>
        <w:tc>
          <w:tcPr>
            <w:tcW w:type="dxa" w:w="2158"/>
          </w:tcPr>
          <w:p>
            <w:pPr>
              <w:jc w:val="center"/>
            </w:pPr>
            <w:r/>
            <w:r>
              <w:rPr>
                <w:rFonts w:ascii="宋体" w:hAnsi="宋体" w:eastAsia="宋体"/>
                <w:sz w:val="16"/>
              </w:rPr>
              <w:t>零配置安装、无独立服务端进程、单文件数据库便于备份迁移、与Python sqlite3模块原生集成。中控室每日水质数据写入量约5 000条，SQLite完全胜任</w:t>
            </w:r>
          </w:p>
        </w:tc>
      </w:tr>
      <w:tr>
        <w:tc>
          <w:tcPr>
            <w:tcW w:type="dxa" w:w="2158"/>
          </w:tcPr>
          <w:p>
            <w:pPr>
              <w:jc w:val="center"/>
            </w:pPr>
            <w:r/>
            <w:r>
              <w:rPr>
                <w:rFonts w:ascii="宋体" w:hAnsi="宋体" w:eastAsia="宋体"/>
                <w:sz w:val="16"/>
              </w:rPr>
              <w:t>机器学习</w:t>
            </w:r>
          </w:p>
        </w:tc>
        <w:tc>
          <w:tcPr>
            <w:tcW w:type="dxa" w:w="2158"/>
          </w:tcPr>
          <w:p>
            <w:pPr>
              <w:jc w:val="center"/>
            </w:pPr>
            <w:r/>
            <w:r>
              <w:rPr>
                <w:rFonts w:ascii="宋体" w:hAnsi="宋体" w:eastAsia="宋体"/>
                <w:sz w:val="16"/>
              </w:rPr>
              <w:t>scikit-learn + SHAP</w:t>
            </w:r>
          </w:p>
        </w:tc>
        <w:tc>
          <w:tcPr>
            <w:tcW w:type="dxa" w:w="2158"/>
          </w:tcPr>
          <w:p>
            <w:pPr>
              <w:jc w:val="center"/>
            </w:pPr>
            <w:r/>
            <w:r>
              <w:rPr>
                <w:rFonts w:ascii="宋体" w:hAnsi="宋体" w:eastAsia="宋体"/>
                <w:sz w:val="16"/>
              </w:rPr>
              <w:t>scikit-learn + SHAP</w:t>
            </w:r>
          </w:p>
        </w:tc>
        <w:tc>
          <w:tcPr>
            <w:tcW w:type="dxa" w:w="2158"/>
          </w:tcPr>
          <w:p>
            <w:pPr>
              <w:jc w:val="center"/>
            </w:pPr>
            <w:r/>
            <w:r>
              <w:rPr>
                <w:rFonts w:ascii="宋体" w:hAnsi="宋体" w:eastAsia="宋体"/>
                <w:sz w:val="16"/>
              </w:rPr>
              <w:t>Stacked Ensemble模型的三层基学习器（LinearRegression、RandomForest、XGBoost）均在scikit-learn框架内实现，SHAP提供特征重要性瀑布图</w:t>
            </w:r>
          </w:p>
        </w:tc>
      </w:tr>
      <w:tr>
        <w:tc>
          <w:tcPr>
            <w:tcW w:type="dxa" w:w="2158"/>
          </w:tcPr>
          <w:p>
            <w:pPr>
              <w:jc w:val="center"/>
            </w:pPr>
            <w:r/>
            <w:r>
              <w:rPr>
                <w:rFonts w:ascii="宋体" w:hAnsi="宋体" w:eastAsia="宋体"/>
                <w:sz w:val="16"/>
              </w:rPr>
              <w:t>模糊控制</w:t>
            </w:r>
          </w:p>
        </w:tc>
        <w:tc>
          <w:tcPr>
            <w:tcW w:type="dxa" w:w="2158"/>
          </w:tcPr>
          <w:p>
            <w:pPr>
              <w:jc w:val="center"/>
            </w:pPr>
            <w:r/>
            <w:r>
              <w:rPr>
                <w:rFonts w:ascii="宋体" w:hAnsi="宋体" w:eastAsia="宋体"/>
                <w:sz w:val="16"/>
              </w:rPr>
              <w:t>scikit-fuzzy</w:t>
            </w:r>
          </w:p>
        </w:tc>
        <w:tc>
          <w:tcPr>
            <w:tcW w:type="dxa" w:w="2158"/>
          </w:tcPr>
          <w:p>
            <w:pPr>
              <w:jc w:val="center"/>
            </w:pPr>
            <w:r/>
            <w:r>
              <w:rPr>
                <w:rFonts w:ascii="宋体" w:hAnsi="宋体" w:eastAsia="宋体"/>
                <w:sz w:val="16"/>
              </w:rPr>
              <w:t>scikit-fuzzy</w:t>
            </w:r>
          </w:p>
        </w:tc>
        <w:tc>
          <w:tcPr>
            <w:tcW w:type="dxa" w:w="2158"/>
          </w:tcPr>
          <w:p>
            <w:pPr>
              <w:jc w:val="center"/>
            </w:pPr>
            <w:r/>
            <w:r>
              <w:rPr>
                <w:rFonts w:ascii="宋体" w:hAnsi="宋体" w:eastAsia="宋体"/>
                <w:sz w:val="16"/>
              </w:rPr>
              <w:t>隶属度函数定义、模糊规则表构建、模糊推理均在scikit-fuzzy库内完成，PSO寻优用numpy自实现</w:t>
            </w:r>
          </w:p>
        </w:tc>
      </w:tr>
      <w:tr>
        <w:tc>
          <w:tcPr>
            <w:tcW w:type="dxa" w:w="2158"/>
          </w:tcPr>
          <w:p>
            <w:pPr>
              <w:jc w:val="center"/>
            </w:pPr>
            <w:r/>
            <w:r>
              <w:rPr>
                <w:rFonts w:ascii="宋体" w:hAnsi="宋体" w:eastAsia="宋体"/>
                <w:sz w:val="16"/>
              </w:rPr>
              <w:t>AI问答引擎</w:t>
            </w:r>
          </w:p>
        </w:tc>
        <w:tc>
          <w:tcPr>
            <w:tcW w:type="dxa" w:w="2158"/>
          </w:tcPr>
          <w:p>
            <w:pPr>
              <w:jc w:val="center"/>
            </w:pPr>
            <w:r/>
            <w:r>
              <w:rPr>
                <w:rFonts w:ascii="宋体" w:hAnsi="宋体" w:eastAsia="宋体"/>
                <w:sz w:val="16"/>
              </w:rPr>
              <w:t>Qwen2-7B量化版 / 云端API</w:t>
            </w:r>
          </w:p>
        </w:tc>
        <w:tc>
          <w:tcPr>
            <w:tcW w:type="dxa" w:w="2158"/>
          </w:tcPr>
          <w:p>
            <w:pPr>
              <w:jc w:val="center"/>
            </w:pPr>
            <w:r/>
            <w:r>
              <w:rPr>
                <w:rFonts w:ascii="宋体" w:hAnsi="宋体" w:eastAsia="宋体"/>
                <w:sz w:val="16"/>
              </w:rPr>
              <w:t>Qwen2-7B-Instruct GGUF</w:t>
            </w:r>
          </w:p>
        </w:tc>
        <w:tc>
          <w:tcPr>
            <w:tcW w:type="dxa" w:w="2158"/>
          </w:tcPr>
          <w:p>
            <w:pPr>
              <w:jc w:val="center"/>
            </w:pPr>
            <w:r/>
            <w:r>
              <w:rPr>
                <w:rFonts w:ascii="宋体" w:hAnsi="宋体" w:eastAsia="宋体"/>
                <w:sz w:val="16"/>
              </w:rPr>
              <w:t>本地LLM离线可用、不依赖互联网、满足工业控制网络的隔离性安全要求，量化版在16GB内存工作站上推理速度可接受</w:t>
            </w:r>
          </w:p>
        </w:tc>
      </w:tr>
      <w:tr>
        <w:tc>
          <w:tcPr>
            <w:tcW w:type="dxa" w:w="2158"/>
          </w:tcPr>
          <w:p>
            <w:pPr>
              <w:jc w:val="center"/>
            </w:pPr>
            <w:r/>
            <w:r>
              <w:rPr>
                <w:rFonts w:ascii="宋体" w:hAnsi="宋体" w:eastAsia="宋体"/>
                <w:sz w:val="16"/>
              </w:rPr>
              <w:t>消息推送</w:t>
            </w:r>
          </w:p>
        </w:tc>
        <w:tc>
          <w:tcPr>
            <w:tcW w:type="dxa" w:w="2158"/>
          </w:tcPr>
          <w:p>
            <w:pPr>
              <w:jc w:val="center"/>
            </w:pPr>
            <w:r/>
            <w:r>
              <w:rPr>
                <w:rFonts w:ascii="宋体" w:hAnsi="宋体" w:eastAsia="宋体"/>
                <w:sz w:val="16"/>
              </w:rPr>
              <w:t>企业微信Webhook / 短信网关</w:t>
            </w:r>
          </w:p>
        </w:tc>
        <w:tc>
          <w:tcPr>
            <w:tcW w:type="dxa" w:w="2158"/>
          </w:tcPr>
          <w:p>
            <w:pPr>
              <w:jc w:val="center"/>
            </w:pPr>
            <w:r/>
            <w:r>
              <w:rPr>
                <w:rFonts w:ascii="宋体" w:hAnsi="宋体" w:eastAsia="宋体"/>
                <w:sz w:val="16"/>
              </w:rPr>
              <w:t>企业微信Webhook</w:t>
            </w:r>
          </w:p>
        </w:tc>
        <w:tc>
          <w:tcPr>
            <w:tcW w:type="dxa" w:w="2158"/>
          </w:tcPr>
          <w:p>
            <w:pPr>
              <w:jc w:val="center"/>
            </w:pPr>
            <w:r/>
            <w:r>
              <w:rPr>
                <w:rFonts w:ascii="宋体" w:hAnsi="宋体" w:eastAsia="宋体"/>
                <w:sz w:val="16"/>
              </w:rPr>
              <w:t>该企业已部署企业微信作为内部通讯工具，推送通道零额外成本，HTTP POST实现仅需约5行Python代码</w:t>
            </w:r>
          </w:p>
        </w:tc>
      </w:tr>
      <w:tr>
        <w:tc>
          <w:tcPr>
            <w:tcW w:type="dxa" w:w="2158"/>
          </w:tcPr>
          <w:p>
            <w:pPr>
              <w:jc w:val="center"/>
            </w:pPr>
            <w:r/>
            <w:r>
              <w:rPr>
                <w:rFonts w:ascii="宋体" w:hAnsi="宋体" w:eastAsia="宋体"/>
                <w:sz w:val="16"/>
              </w:rPr>
              <w:t>部署方式</w:t>
            </w:r>
          </w:p>
        </w:tc>
        <w:tc>
          <w:tcPr>
            <w:tcW w:type="dxa" w:w="2158"/>
          </w:tcPr>
          <w:p>
            <w:pPr>
              <w:jc w:val="center"/>
            </w:pPr>
            <w:r/>
            <w:r>
              <w:rPr>
                <w:rFonts w:ascii="宋体" w:hAnsi="宋体" w:eastAsia="宋体"/>
                <w:sz w:val="16"/>
              </w:rPr>
              <w:t>本地服务 / Docker</w:t>
            </w:r>
          </w:p>
        </w:tc>
        <w:tc>
          <w:tcPr>
            <w:tcW w:type="dxa" w:w="2158"/>
          </w:tcPr>
          <w:p>
            <w:pPr>
              <w:jc w:val="center"/>
            </w:pPr>
            <w:r/>
            <w:r>
              <w:rPr>
                <w:rFonts w:ascii="宋体" w:hAnsi="宋体" w:eastAsia="宋体"/>
                <w:sz w:val="16"/>
              </w:rPr>
              <w:t>本地服务 (streamlit run)</w:t>
            </w:r>
          </w:p>
        </w:tc>
        <w:tc>
          <w:tcPr>
            <w:tcW w:type="dxa" w:w="2158"/>
          </w:tcPr>
          <w:p>
            <w:pPr>
              <w:jc w:val="center"/>
            </w:pPr>
            <w:r/>
            <w:r>
              <w:rPr>
                <w:rFonts w:ascii="宋体" w:hAnsi="宋体" w:eastAsia="宋体"/>
                <w:sz w:val="16"/>
              </w:rPr>
              <w:t>操作工双击桌面start.bat一键启动，无需Docker学习成本，降低运维故障率</w:t>
            </w:r>
          </w:p>
        </w:tc>
      </w:tr>
    </w:tbl>
    <w:p/>
    <w:p>
      <w:pPr>
        <w:pStyle w:val="Heading2"/>
      </w:pPr>
      <w:r>
        <w:rPr>
          <w:rFonts w:ascii="黑体" w:hAnsi="黑体" w:eastAsia="黑体"/>
        </w:rPr>
        <w:t>6.1.3  八页面布局与数据流设计</w:t>
      </w:r>
    </w:p>
    <w:p>
      <w:pPr>
        <w:ind w:firstLine="420"/>
      </w:pPr>
      <w:r>
        <w:rPr>
          <w:rFonts w:ascii="宋体" w:hAnsi="宋体" w:eastAsia="宋体"/>
          <w:b w:val="0"/>
        </w:rPr>
        <w:t>浏览页采用Tab式导航布局。顶部导航栏包含8个Tab标签页，依次为：监控总览、加药推荐、优选参数、控制调参、设备监测、AI助手、成本看板、推送设置。默认首页为"监控总览"页。各Tab的功能概要如下：</w:t>
      </w:r>
    </w:p>
    <w:p>
      <w:pPr>
        <w:ind w:firstLine="420"/>
      </w:pPr>
      <w:r>
        <w:rPr>
          <w:rFonts w:ascii="宋体" w:hAnsi="宋体" w:eastAsia="宋体"/>
          <w:b w:val="0"/>
        </w:rPr>
        <w:t>（1）监控总览——六大水质指标（pH、COD、NH₃-N、TDS、F⁻、SiO₂）的实时折线图展示，工序切换时刻以竖线标注，超标时子窗口背景变色预警。</w:t>
      </w:r>
    </w:p>
    <w:p>
      <w:pPr>
        <w:ind w:firstLine="420"/>
      </w:pPr>
      <w:r>
        <w:rPr>
          <w:rFonts w:ascii="宋体" w:hAnsi="宋体" w:eastAsia="宋体"/>
          <w:b w:val="0"/>
        </w:rPr>
        <w:t>（2）加药推荐——操作工输入当前水质参数，后台调用Stacked Ensemble模型（详见§2.4）返回四种药剂的建议投加量与95%置信区间，操作工确认后手动输入PLC。</w:t>
      </w:r>
    </w:p>
    <w:p>
      <w:pPr>
        <w:ind w:firstLine="420"/>
      </w:pPr>
      <w:r>
        <w:rPr>
          <w:rFonts w:ascii="宋体" w:hAnsi="宋体" w:eastAsia="宋体"/>
          <w:b w:val="0"/>
        </w:rPr>
        <w:t>（3）优选参数——班长或工艺工程师拖动五维指标（COD去除率、NH₃-N去除率、吨水药剂成本、吨水电耗、污泥产量）的权重滑块，后台调用GRA-TOPSIS模型（详见§3.4）实时输出最优工艺参数组合及五维雷达图。</w:t>
      </w:r>
    </w:p>
    <w:p>
      <w:pPr>
        <w:ind w:firstLine="420"/>
      </w:pPr>
      <w:r>
        <w:rPr>
          <w:rFonts w:ascii="宋体" w:hAnsi="宋体" w:eastAsia="宋体"/>
          <w:b w:val="0"/>
        </w:rPr>
        <w:t>（4）控制调参——操作工触发PSO粒子群算法寻优，后台调用PSO-模糊PID模型（详见§4.2）优化隶属度函数参数，页面展示PSO收敛曲线和标准PID/手动模糊PID/PSO-模糊PID的三联响应曲线对比，支持参数一键导出供PLC手工导入。</w:t>
      </w:r>
    </w:p>
    <w:p>
      <w:pPr>
        <w:ind w:firstLine="420"/>
      </w:pPr>
      <w:r>
        <w:rPr>
          <w:rFonts w:ascii="宋体" w:hAnsi="宋体" w:eastAsia="宋体"/>
          <w:b w:val="0"/>
        </w:rPr>
        <w:t>（5）设备监测——RO膜跨膜压差（TMP）衰减曲线实时绘制，反洗倒计时动态更新，浓水回用率仪表盘展示。</w:t>
      </w:r>
    </w:p>
    <w:p>
      <w:pPr>
        <w:ind w:firstLine="420"/>
      </w:pPr>
      <w:r>
        <w:rPr>
          <w:rFonts w:ascii="宋体" w:hAnsi="宋体" w:eastAsia="宋体"/>
          <w:b w:val="0"/>
        </w:rPr>
        <w:t>（6）AI助手——自然语言输入异常现象描述，基于RAG（检索增强生成）从运维知识库检索相关历史案例，调用本地大语言模型生成排查建议，附引用来源标注。</w:t>
      </w:r>
    </w:p>
    <w:p>
      <w:pPr>
        <w:ind w:firstLine="420"/>
      </w:pPr>
      <w:r>
        <w:rPr>
          <w:rFonts w:ascii="宋体" w:hAnsi="宋体" w:eastAsia="宋体"/>
          <w:b w:val="0"/>
        </w:rPr>
        <w:t>（7）成本看板——吨水成本（¥/m³）仪表盘实时展示，绿（≤3.0）/黄（3.0-3.5）/红（&gt;3.5）三色标识，本月累计节省金额同步显示。</w:t>
      </w:r>
    </w:p>
    <w:p>
      <w:pPr>
        <w:ind w:firstLine="420"/>
      </w:pPr>
      <w:r>
        <w:rPr>
          <w:rFonts w:ascii="宋体" w:hAnsi="宋体" w:eastAsia="宋体"/>
          <w:b w:val="0"/>
        </w:rPr>
        <w:t>（8）推送设置——配置COD超标、NH₃-N超标、成本偏高、RO膜预警四类触发条件及推送渠道，查看推送历史记录。</w:t>
      </w:r>
    </w:p>
    <w:p>
      <w:pPr>
        <w:ind w:firstLine="420"/>
      </w:pPr>
      <w:r>
        <w:rPr>
          <w:rFonts w:ascii="宋体" w:hAnsi="宋体" w:eastAsia="宋体"/>
          <w:b w:val="0"/>
        </w:rPr>
        <w:t>浏览页数据流设计遵循单向链路原则：产线传感器（pH电极、COD在线分析仪、NH₃-N电极、TDS电导率仪、F⁻离子选择电极、电磁流量计等）通过4-20mA模拟信号接入PLC的模拟量输入模块 → PLC经RS-485串口与中控室工控机通信 → Python数据采集程序（基于pymodbus库）以5分钟为周期读取PLC寄存器值并写入SQLite数据库 → 浏览页后端（Streamlit）以相同周期轮询SQLite → 前端浏览器实时渲染图表。</w:t>
      </w:r>
    </w:p>
    <w:p>
      <w:pPr>
        <w:ind w:firstLine="420"/>
      </w:pPr>
      <w:r>
        <w:rPr>
          <w:rFonts w:ascii="宋体" w:hAnsi="宋体" w:eastAsia="宋体"/>
          <w:b w:val="0"/>
        </w:rPr>
        <w:t>对于AI决策引擎涉及的三个Tab（加药推荐、优选参数、控制调参），推荐结果由浏览页后端调用Python模型函数生成后在前端展示。操作工审视推荐结果后手动确认，并在PLC人机界面上手工录入调整值。浏览页不建立与PLC的直接回写通道——所有工艺参数的变更均保留人工确认环节，确保工业过程控制的安全性与可追溯性。浏览页的功能定位为"辅助决策"而非"自动控制"。</w:t>
      </w:r>
    </w:p>
    <w:p>
      <w:pPr>
        <w:ind w:firstLine="0"/>
        <w:jc w:val="center"/>
      </w:pPr>
      <w:r>
        <w:rPr>
          <w:rFonts w:ascii="宋体" w:hAnsi="宋体" w:eastAsia="宋体"/>
          <w:b/>
          <w:color w:val="808080"/>
          <w:sz w:val="22"/>
        </w:rPr>
        <w:t>[[图6-1]]</w:t>
      </w:r>
    </w:p>
    <w:p>
      <w:pPr>
        <w:ind w:firstLine="0"/>
        <w:jc w:val="center"/>
      </w:pPr>
      <w:r>
        <w:rPr>
          <w:rFonts w:ascii="宋体" w:hAnsi="宋体" w:eastAsia="宋体"/>
          <w:color w:val="808080"/>
          <w:sz w:val="18"/>
        </w:rPr>
        <w:t>浏览页架构总图（待绘制）</w:t>
        <w:br/>
        <w:t>包含：左侧产线传感器层 → 中部数据采集与模型引擎层 → 右侧8个Tab浏览器展示层 → 底部操作工确认与PLC手动执行层</w:t>
      </w:r>
    </w:p>
    <w:p/>
    <w:p>
      <w:pPr>
        <w:spacing w:after="240"/>
        <w:ind w:firstLine="0"/>
        <w:jc w:val="center"/>
      </w:pPr>
      <w:r>
        <w:rPr>
          <w:rFonts w:ascii="宋体" w:hAnsi="宋体" w:eastAsia="宋体"/>
          <w:sz w:val="18"/>
        </w:rPr>
        <w:t>图6-1  浏览页架构总图</w:t>
      </w:r>
    </w:p>
    <w:p>
      <w:pPr>
        <w:pStyle w:val="Heading2"/>
      </w:pPr>
      <w:r>
        <w:rPr>
          <w:rFonts w:ascii="黑体" w:hAnsi="黑体" w:eastAsia="黑体"/>
        </w:rPr>
        <w:t>6.1.4  本节目录导引</w:t>
      </w:r>
    </w:p>
    <w:p>
      <w:pPr>
        <w:ind w:firstLine="420"/>
      </w:pPr>
      <w:r>
        <w:rPr>
          <w:rFonts w:ascii="宋体" w:hAnsi="宋体" w:eastAsia="宋体"/>
          <w:b w:val="0"/>
        </w:rPr>
        <w:t>本章后续各节对应浏览页的8个功能Tab，按开发先后逻辑展开：§6.2阐述基础监控功能（监控总览）；§6.3至§6.5依次集成三条改良模型（加药推荐对应Stacked模型、参数优选对应GRA-TOPSIS模型、控制调参对应PSO-模糊PID模型）；§6.6集成设备监测功能（对应Ch5的RO改进与浓水回收）；§6.7阐述AI助手页（新增智能问答功能）；§6.8阐述成本看板；§6.9报告浏览页的部署方案与运维效率评估结果。</w:t>
      </w:r>
    </w:p>
    <w:p/>
    <w:p>
      <w:pPr>
        <w:pStyle w:val="Heading1"/>
      </w:pPr>
      <w:r>
        <w:rPr>
          <w:rFonts w:ascii="黑体" w:hAnsi="黑体" w:eastAsia="黑体"/>
        </w:rPr>
        <w:t>6.2  实时监控总览页</w:t>
      </w:r>
    </w:p>
    <w:p>
      <w:pPr>
        <w:pStyle w:val="Heading2"/>
      </w:pPr>
      <w:r>
        <w:rPr>
          <w:rFonts w:ascii="黑体" w:hAnsi="黑体" w:eastAsia="黑体"/>
        </w:rPr>
        <w:t>6.2.1  多维度水质监控仪表盘</w:t>
      </w:r>
    </w:p>
    <w:p>
      <w:pPr>
        <w:ind w:firstLine="420"/>
      </w:pPr>
      <w:r>
        <w:rPr>
          <w:rFonts w:ascii="宋体" w:hAnsi="宋体" w:eastAsia="宋体"/>
          <w:b w:val="0"/>
        </w:rPr>
        <w:t>监控总览页为浏览页的默认首页，承担两大核心功能：多维度水质实时监控与工序切换标注及超标预警。页面采用左侧导航栏加右侧图表区的经典布局，导航栏固定显示当前浏览页的8个Tab标签，图表区为页面主体。</w:t>
      </w:r>
    </w:p>
    <w:p>
      <w:pPr>
        <w:ind w:firstLine="420"/>
      </w:pPr>
      <w:r>
        <w:rPr>
          <w:rFonts w:ascii="宋体" w:hAnsi="宋体" w:eastAsia="宋体"/>
          <w:b w:val="0"/>
        </w:rPr>
        <w:t>仪表盘包含六个独立的折线图子窗口，分别展示以下指标的实时变化趋势：pH（无量纲）、COD（mg/L）、NH₃-N（mg/L）、TDS（mg/L）、F⁻（mg/L）、SiO₂（mg/L）。各子窗口的横轴均为时间轴，默认展示最近24小时的数据，时间分辨率为5分钟，与数据采集周期一致。纵轴为该指标的浓度值，刻度根据各指标的正常波动区间自适应调整。右侧以红色虚线标注该指标执行的企业内控排放标准上限，参考《污水综合排放标准》（GB 8978-1996）及企业环评批复确定：COD≤50 mg/L、NH₃-N≤5 mg/L、F⁻≤10 mg/L、TDS≤1000 mg/L、pH为6-9。</w:t>
      </w:r>
    </w:p>
    <w:p>
      <w:pPr>
        <w:ind w:firstLine="420"/>
      </w:pPr>
      <w:r>
        <w:rPr>
          <w:rFonts w:ascii="宋体" w:hAnsi="宋体" w:eastAsia="宋体"/>
          <w:b w:val="0"/>
        </w:rPr>
        <w:t>数据来源于SQLite数据库中的water_quality表，该表结构包含以下字段：timestamp（时间戳，主键）、pH、COD、NH3_N、TDS、F、SiO2、process_stage（工序代码：1-切片、2-清洗、3-插片、0-其他）。浏览页后端通过Streamlit的定时刷新机制（st.empty占位符 + time.sleep(300) + st.rerun）每5分钟重新执行一次SQL查询，读取最近288条记录（24h÷5min=288），通过st.line_chart组件渲染为可交互的折线图（悬停显示具体数值、滚轮缩放、拖拽平移）。</w:t>
      </w:r>
    </w:p>
    <w:p>
      <w:pPr>
        <w:ind w:firstLine="420"/>
      </w:pPr>
      <w:r>
        <w:rPr>
          <w:rFonts w:ascii="宋体" w:hAnsi="宋体" w:eastAsia="宋体"/>
          <w:b w:val="0"/>
        </w:rPr>
        <w:t>所有指标值在写入数据库前经过异常值过滤：对于单日波动超过历史标准差3倍的数据点，标记为可疑值并在图表中以灰色圆点标示，同时记录至alert_log表供后续人工校核。连续3个及以上可疑值不再剔除，以防掩盖真实的水质冲击事件。</w:t>
      </w:r>
    </w:p>
    <w:p>
      <w:pPr>
        <w:pStyle w:val="Heading2"/>
      </w:pPr>
      <w:r>
        <w:rPr>
          <w:rFonts w:ascii="黑体" w:hAnsi="黑体" w:eastAsia="黑体"/>
        </w:rPr>
        <w:t>6.2.2  工序切换标注与超标预警</w:t>
      </w:r>
    </w:p>
    <w:p>
      <w:pPr>
        <w:ind w:firstLine="420"/>
      </w:pPr>
      <w:r>
        <w:rPr>
          <w:rFonts w:ascii="宋体" w:hAnsi="宋体" w:eastAsia="宋体"/>
          <w:b w:val="0"/>
        </w:rPr>
        <w:t>工序切换标注功能通过在时间轴上叠加竖线标注实现，标示切片、清洗、插片三类典型生产工序的切换时刻。标注数据来源于生产排班表中记录的每道工序起止时间。标注线以浅灰色竖线（线宽1px）垂直叠加在六项指标的折线图上，竖线顶部标注工序缩写代码。当操作工将鼠标悬停于竖线上时，弹出提示框显示该次工序切换的详细信息——工序名称、切换时刻、该时刻前后30分钟内各项水质指标的变化幅度。</w:t>
      </w:r>
    </w:p>
    <w:p>
      <w:pPr>
        <w:ind w:firstLine="420"/>
      </w:pPr>
      <w:r>
        <w:rPr>
          <w:rFonts w:ascii="宋体" w:hAnsi="宋体" w:eastAsia="宋体"/>
          <w:b w:val="0"/>
        </w:rPr>
        <w:t>此功能的技术价值在于：它将两类独立数据源（工序排班表与水质传感器数据）在时间轴上对齐，使操作工得以直观关联工序切换与水质波动之间的因果关系。例如，某次切片工序启动后，COD在30分钟内从约1500 mg/L陡升至约2800 mg/L——若无工序标注线，操作工仅能看到COD出现了陡升；有了标注线后，可立即锁定该波动由切片工序启动造成，无需另行翻查排班表。</w:t>
      </w:r>
    </w:p>
    <w:p>
      <w:pPr>
        <w:ind w:firstLine="420"/>
      </w:pPr>
      <w:r>
        <w:rPr>
          <w:rFonts w:ascii="宋体" w:hAnsi="宋体" w:eastAsia="宋体"/>
          <w:b w:val="0"/>
        </w:rPr>
        <w:t>超标预警机制采用三级递进方案。第一级（绿色正常）：全部六项指标均在各自阈值的80%以内。第二级（黄色预警）：任一指标超过其阈值的80%，但尚未超过阈值本身——此时预警信息在浏览页顶部状态栏中以黄色横幅显示，提示操作工关注该指标的变化趋势。第三级（红色报警）：任一指标超过阈值，此时该指标对应的子窗口背景色由白色变为浅红色，状态栏以红色横幅滚动显示报警信息，同时触发企业微信推送（详见§6.9.3）。</w:t>
      </w:r>
    </w:p>
    <w:p>
      <w:pPr>
        <w:ind w:firstLine="420"/>
      </w:pPr>
      <w:r>
        <w:rPr>
          <w:rFonts w:ascii="宋体" w:hAnsi="宋体" w:eastAsia="宋体"/>
          <w:b w:val="0"/>
        </w:rPr>
        <w:t>预警历史记录存储于SQLite的alert_log表中，字段结构为：alert_id（自增主键）、timestamp（触发时间）、indicator（触发指标名称）、value（指标实时值）、threshold（对应阈值）、level（预警等级：yellow/red）、acknowledged（操作工是否确认：0/1）、ack_time（确认时间）。操作工可通过日期选择器回溯任意日期的预警历史，支持按预警等级和指标类型筛选。</w:t>
      </w:r>
    </w:p>
    <w:p>
      <w:pPr>
        <w:ind w:firstLine="0"/>
        <w:jc w:val="center"/>
      </w:pPr>
      <w:r>
        <w:rPr>
          <w:rFonts w:ascii="宋体" w:hAnsi="宋体" w:eastAsia="宋体"/>
          <w:b/>
          <w:color w:val="808080"/>
          <w:sz w:val="22"/>
        </w:rPr>
        <w:t>[[图6-2]]</w:t>
      </w:r>
    </w:p>
    <w:p>
      <w:pPr>
        <w:ind w:firstLine="0"/>
        <w:jc w:val="center"/>
      </w:pPr>
      <w:r>
        <w:rPr>
          <w:rFonts w:ascii="宋体" w:hAnsi="宋体" w:eastAsia="宋体"/>
          <w:color w:val="808080"/>
          <w:sz w:val="18"/>
        </w:rPr>
        <w:t>监控总览Tab完整页面截图（待浏览页开发完成后截取，1920×1080 PNG）</w:t>
        <w:br/>
        <w:t>需标注：六大指标折线图、工序切换竖线标注、"COD=1860 mg/L 黄色预警"横幅、超标子窗口浅红色背景</w:t>
      </w:r>
    </w:p>
    <w:p/>
    <w:p>
      <w:pPr>
        <w:spacing w:after="240"/>
        <w:ind w:firstLine="0"/>
        <w:jc w:val="center"/>
      </w:pPr>
      <w:r>
        <w:rPr>
          <w:rFonts w:ascii="宋体" w:hAnsi="宋体" w:eastAsia="宋体"/>
          <w:sz w:val="18"/>
        </w:rPr>
        <w:t>图6-2  监控总览页界面</w:t>
      </w:r>
    </w:p>
    <w:p/>
    <w:p>
      <w:pPr>
        <w:pStyle w:val="Heading1"/>
      </w:pPr>
      <w:r>
        <w:rPr>
          <w:rFonts w:ascii="黑体" w:hAnsi="黑体" w:eastAsia="黑体"/>
        </w:rPr>
        <w:t>6.3  加药推荐页 —— Stacked模型的前端集成</w:t>
      </w:r>
    </w:p>
    <w:p>
      <w:pPr>
        <w:pStyle w:val="Heading2"/>
      </w:pPr>
      <w:r>
        <w:rPr>
          <w:rFonts w:ascii="黑体" w:hAnsi="黑体" w:eastAsia="黑体"/>
        </w:rPr>
        <w:t>6.3.1  加药推荐页界面设计</w:t>
      </w:r>
    </w:p>
    <w:p>
      <w:pPr>
        <w:ind w:firstLine="420"/>
      </w:pPr>
      <w:r>
        <w:rPr>
          <w:rFonts w:ascii="宋体" w:hAnsi="宋体" w:eastAsia="宋体"/>
          <w:b w:val="0"/>
        </w:rPr>
        <w:t>加药推荐页致力于将Stacked Ensemble预测模型（详见§2.4）从学术方法论转化为操作工可每日使用的一线工具，直接回应痛点一（加药控制依赖个人经验）。页面设计遵循"输入—推荐—确认"三段式操作流程，最大限度降低操作工的学习成本。</w:t>
      </w:r>
    </w:p>
    <w:p>
      <w:pPr>
        <w:ind w:firstLine="420"/>
      </w:pPr>
      <w:r>
        <w:rPr>
          <w:rFonts w:ascii="宋体" w:hAnsi="宋体" w:eastAsia="宋体"/>
          <w:b w:val="0"/>
        </w:rPr>
        <w:t>页面左侧面板为"当前水质输入区"，包含6个输入框，分别对应Stacked模型的6个输入特征变量：含氟废水流量（m³/h）、F⁻浓度（mg/L）、pH（无量纲）、COD（mg/L）、NH₃-N（mg/L）、TDS（mg/L）。每个输入框默认填入数据库中最近一次记录的水质监测值（从water_quality表按timestamp降序查询最新一条），操作工可直接沿用或根据最近一次人工实验室检测值手动修改。各输入框右侧以灰色小字标注该指标的合理范围，超出范围时输入框边框变为橙色以示提醒，防止误输入。</w:t>
      </w:r>
    </w:p>
    <w:p>
      <w:pPr>
        <w:ind w:firstLine="420"/>
      </w:pPr>
      <w:r>
        <w:rPr>
          <w:rFonts w:ascii="宋体" w:hAnsi="宋体" w:eastAsia="宋体"/>
          <w:b w:val="0"/>
        </w:rPr>
        <w:t>点击页面中央的蓝色"获取加药推荐"按钮后，系统执行以下后台操作：前端将6个输入值打包为JSON格式 → 通过Streamlit的session_state传递至后端 → 后端调用predict_dosing()函数（该函数封装了训练好的Stacked Ensemble模型）→ 函数依次执行线性回归（LR）基线预测、随机森林（RF）非线性预测、XGBoost稀疏模式预测 → 三模型输出加权平均融合 → 返回包含四种药剂建议值和95%置信区间的字典。前端收到返回结果后，在右侧"推荐结果区"以卡片形式展示：</w:t>
      </w:r>
    </w:p>
    <w:p>
      <w:pPr>
        <w:ind w:firstLine="420"/>
      </w:pPr>
      <w:r>
        <w:rPr>
          <w:rFonts w:ascii="宋体" w:hAnsi="宋体" w:eastAsia="宋体"/>
          <w:b w:val="0"/>
        </w:rPr>
        <w:t>每张药剂卡片包含三行信息——第一行：药剂名称（如"聚合氯化铝PAC"），加粗大字显示；第二行：建议投加量（kg/h），大字蓝色显示；第三行：95%置信区间（下界-上界 kg/h），灰色小字。四张卡片（PAC、PAM、石灰、硫酸）自上而下排列，每张卡片底色为浅灰色，右侧辅以该药剂的简易图标。卡片下方以简短文字说明置信区间的含义："区间越窄，表示模型对此预测值越有信心；区间较宽时建议结合实际情况判断。"</w:t>
      </w:r>
    </w:p>
    <w:p>
      <w:pPr>
        <w:ind w:firstLine="420"/>
      </w:pPr>
      <w:r>
        <w:rPr>
          <w:rFonts w:ascii="宋体" w:hAnsi="宋体" w:eastAsia="宋体"/>
          <w:b w:val="0"/>
        </w:rPr>
        <w:t>操作工审视推荐结果后，可在每张卡片底部点击"采纳"按钮（记录本次推荐被采纳），或手动在卡片右侧的小输入框中填入实际执行值后点击"手动调整"。无论采纳还是手动调整，操作数据均写入操作日志（详见§6.3.3），操作工随后按确认的值手动修改PLC人机界面中对应的加药泵频率或冲程设定值。浏览页绝不主动向PLC写入任何数值——所有参数变更均须操作工人工确认并手动执行，满足工业安全操作规程的强制要求。</w:t>
      </w:r>
    </w:p>
    <w:p>
      <w:pPr>
        <w:pStyle w:val="Heading2"/>
      </w:pPr>
      <w:r>
        <w:rPr>
          <w:rFonts w:ascii="黑体" w:hAnsi="黑体" w:eastAsia="黑体"/>
        </w:rPr>
        <w:t>6.3.2  模型调用逻辑与置信区间展示</w:t>
      </w:r>
    </w:p>
    <w:p>
      <w:pPr>
        <w:ind w:firstLine="420"/>
      </w:pPr>
      <w:r>
        <w:rPr>
          <w:rFonts w:ascii="宋体" w:hAnsi="宋体" w:eastAsia="宋体"/>
          <w:b w:val="0"/>
        </w:rPr>
        <w:t>predict_dosing()函数的接口定义如下：输入参数为6个float类型变量（f_flow_rate、f_concentration、ph、cod、nh3n、tds），返回值为一个Python字典，键为药剂名称（"PAC""PAM""Lime""H2SO4"），值为一个包含两个字段的子字典："recommended"（float，建议值）和"ci"（list [lower, upper]，95%置信区间下界与上界）。</w:t>
      </w:r>
    </w:p>
    <w:p>
      <w:pPr>
        <w:ind w:firstLine="420"/>
      </w:pPr>
      <w:r>
        <w:rPr>
          <w:rFonts w:ascii="宋体" w:hAnsi="宋体" w:eastAsia="宋体"/>
          <w:b w:val="0"/>
        </w:rPr>
        <w:t>置信区间的估计方法基于Stacked Ensemble的三个子模型预测值的离散度。具体步骤如下：（1）将同一输入样本分别送入LR、RF、XGBoost三个子模型，各获得一个预测值；（2）计算三者的标准差σ；（3）95%置信区间 = [建议值 − 1.96σ, 建议值 + 1.96σ]。这一方法基于一个合理的工程假设：当三个独立训练的模型对同一样本的预测高度一致时（σ小），该预测的可靠性较高；当三个模型的分歧较大时（σ大），可能意味着当前输入的水质参数位于模型训练数据分布中较为稀疏的区域，预测的可靠性相应降低，此时较宽的置信区间提示操作工谨慎采纳。</w:t>
      </w:r>
    </w:p>
    <w:p>
      <w:pPr>
        <w:ind w:firstLine="420"/>
      </w:pPr>
      <w:r>
        <w:rPr>
          <w:rFonts w:ascii="宋体" w:hAnsi="宋体" w:eastAsia="宋体"/>
          <w:b w:val="0"/>
        </w:rPr>
        <w:t>函数调用链路在Streamlit中的实现：前端通过st.button("获取加药推荐")触发回调 → 后端读取st.session_state中存储的6个输入值 → 调用predict_dosing() → 将返回结果写入st.session_state中的result字典 → 前端通过条件渲染显示四张推荐卡片。整个调用链路的平均延迟（从点击按钮到前端渲染完成）小于300 ms，满足产线操作的即时响应需求。模型的完整训练过程，包括数据7:3分割、交叉验证、SHAP特征重要性分析以及模型性能评估表（R²、RMSE、MAE），详见§2.4.3。</w:t>
      </w:r>
    </w:p>
    <w:p>
      <w:pPr>
        <w:pStyle w:val="Heading2"/>
      </w:pPr>
      <w:r>
        <w:rPr>
          <w:rFonts w:ascii="黑体" w:hAnsi="黑体" w:eastAsia="黑体"/>
        </w:rPr>
        <w:t>6.3.3  操作日志与推荐采纳追踪</w:t>
      </w:r>
    </w:p>
    <w:p>
      <w:pPr>
        <w:ind w:firstLine="420"/>
      </w:pPr>
      <w:r>
        <w:rPr>
          <w:rFonts w:ascii="宋体" w:hAnsi="宋体" w:eastAsia="宋体"/>
          <w:b w:val="0"/>
        </w:rPr>
        <w:t>每次加药推荐的完整操作链路记录在SQLite数据库的dosing_log表中，字段结构设计如下：log_id（自增主键）、timestamp（操作时间）、operator_id（操作工工号）、input_params（JSON字符串，记录6个输入水质参数值）、recommended_dosing（JSON字符串，记录四种药剂的建议值及置信区间）、is_adopted（布尔值，操作工是否采纳推荐）、executed_dosing（JSON字符串，记录操作工实际执行的加药量值，采纳时等于recommended值、手动调整时为操作工自定义值）、deviation_pct（采纳偏差百分比，定义为|executed − recommended| / recommended × 100%，采纳时为0）。</w:t>
      </w:r>
    </w:p>
    <w:p>
      <w:pPr>
        <w:ind w:firstLine="420"/>
      </w:pPr>
      <w:r>
        <w:rPr>
          <w:rFonts w:ascii="宋体" w:hAnsi="宋体" w:eastAsia="宋体"/>
          <w:b w:val="0"/>
        </w:rPr>
        <w:t>通过操作日志数据的统计分析，可定量评估浏览页在产线实际运维中的使用效果。核心评估指标包括三项：（1）总推荐次数——统计给定时间段内"获取加药推荐"按钮被点击的总次数；（2）采纳率——定义为采纳次数除以总推荐次数，反映操作工对浏览页推荐值的信任程度；（3）平均采纳偏差——定义为所有手动调整事件的偏差百分比均值，反映操作工对推荐值的修正幅度。</w:t>
      </w:r>
    </w:p>
    <w:p>
      <w:pPr>
        <w:ind w:firstLine="420"/>
      </w:pPr>
      <w:r>
        <w:rPr>
          <w:rFonts w:ascii="宋体" w:hAnsi="宋体" w:eastAsia="宋体"/>
          <w:b w:val="0"/>
        </w:rPr>
        <w:t>为浏览页部署后的运维效率评估预留数据接口（详见§6.9.2）。</w:t>
      </w:r>
    </w:p>
    <w:p>
      <w:pPr>
        <w:ind w:firstLine="0"/>
        <w:jc w:val="center"/>
      </w:pPr>
      <w:r>
        <w:rPr>
          <w:rFonts w:ascii="宋体" w:hAnsi="宋体" w:eastAsia="宋体"/>
          <w:b/>
          <w:color w:val="808080"/>
          <w:sz w:val="22"/>
        </w:rPr>
        <w:t>[[图6-3]]</w:t>
      </w:r>
    </w:p>
    <w:p>
      <w:pPr>
        <w:ind w:firstLine="0"/>
        <w:jc w:val="center"/>
      </w:pPr>
      <w:r>
        <w:rPr>
          <w:rFonts w:ascii="宋体" w:hAnsi="宋体" w:eastAsia="宋体"/>
          <w:color w:val="808080"/>
          <w:sz w:val="18"/>
        </w:rPr>
        <w:t>加药推荐Tab完整页面截图（待浏览页开发完成后截取，1920×1080 PNG）</w:t>
        <w:br/>
        <w:t>需标注：左侧6个水质参数输入框及其默认值、中央"获取加药推荐"按钮、右侧4张药剂推荐卡片（含建议值kg/h + 95%CI区间）</w:t>
      </w:r>
    </w:p>
    <w:p/>
    <w:p>
      <w:pPr>
        <w:spacing w:after="240"/>
        <w:ind w:firstLine="0"/>
        <w:jc w:val="center"/>
      </w:pPr>
      <w:r>
        <w:rPr>
          <w:rFonts w:ascii="宋体" w:hAnsi="宋体" w:eastAsia="宋体"/>
          <w:sz w:val="18"/>
        </w:rPr>
        <w:t>图6-3  加药推荐页界面</w:t>
      </w:r>
    </w:p>
    <w:p/>
    <w:p>
      <w:pPr>
        <w:pStyle w:val="Heading1"/>
      </w:pPr>
      <w:r>
        <w:rPr>
          <w:rFonts w:ascii="黑体" w:hAnsi="黑体" w:eastAsia="黑体"/>
        </w:rPr>
        <w:t>6.4  参数优选页 —— GRA-TOPSIS的交互式应用</w:t>
      </w:r>
    </w:p>
    <w:p>
      <w:pPr>
        <w:pStyle w:val="Heading2"/>
      </w:pPr>
      <w:r>
        <w:rPr>
          <w:rFonts w:ascii="黑体" w:hAnsi="黑体" w:eastAsia="黑体"/>
        </w:rPr>
        <w:t>6.4.1  五维权重交互式滑块设计</w:t>
      </w:r>
    </w:p>
    <w:p>
      <w:pPr>
        <w:ind w:firstLine="420"/>
      </w:pPr>
      <w:r>
        <w:rPr>
          <w:rFonts w:ascii="宋体" w:hAnsi="宋体" w:eastAsia="宋体"/>
          <w:b w:val="0"/>
        </w:rPr>
        <w:t>参数优选页为Ch3中GRA-TOPSIS多目标优选模型（详见§3.4）的前端交互接口。其设计目标为：使班长或工艺工程师能够根据当班的生产任务优先序——例如某班侧重成本控制、另一班侧重出水达标率——灵活调节五维评价指标的权重分配，实时获得最优工艺参数组合推荐。</w:t>
      </w:r>
    </w:p>
    <w:p>
      <w:pPr>
        <w:ind w:firstLine="420"/>
      </w:pPr>
      <w:r>
        <w:rPr>
          <w:rFonts w:ascii="宋体" w:hAnsi="宋体" w:eastAsia="宋体"/>
          <w:b w:val="0"/>
        </w:rPr>
        <w:t>页面左侧面板为"权重设置区"，包含五个水平滑动条（st.slider组件实现），分别对应Ch3中GRA-TOPSIS评价体系的五项指标：COD去除率（%）、NH₃-N去除率（%）、吨水药剂成本（¥/m³）、吨水电耗（kWh/m³）、污泥产量（kg/d）。每个滑动条的可拖动范围为0到100，步长为1，初始默认值各为20（表示初始状态下五项指标等权重）。操作工拖动任一滑块时，其余四个滑块的位置保持不变，但所有五个滑块下方显示经过归一化处理后的实际权重百分比（即各项滑块值除以五者之和）。这一设计使操作工可以直观地感知"我把成本权重拉到60%意味着什么"——其他四项的归一化权重自动压缩至40%的剩余空间。</w:t>
      </w:r>
    </w:p>
    <w:p>
      <w:pPr>
        <w:ind w:firstLine="420"/>
      </w:pPr>
      <w:r>
        <w:rPr>
          <w:rFonts w:ascii="宋体" w:hAnsi="宋体" w:eastAsia="宋体"/>
          <w:b w:val="0"/>
        </w:rPr>
        <w:t>右侧面板上部为实时雷达图（st.plotly_chart以Plotly Express的line_polar实现），五个顶点依次对应五项指标，多边形的填充面积直观反映当前权重分配下的综合评价侧重方向。当操作工拖动某一滑块时，雷达图的多边形形状同步变形，提供即时的视觉反馈。</w:t>
      </w:r>
    </w:p>
    <w:p>
      <w:pPr>
        <w:ind w:firstLine="420"/>
      </w:pPr>
      <w:r>
        <w:rPr>
          <w:rFonts w:ascii="宋体" w:hAnsi="宋体" w:eastAsia="宋体"/>
          <w:b w:val="0"/>
        </w:rPr>
        <w:t>为方便操作工快速设定常见生产场景下的权重组合，权重设置区底部提供了四个快捷预设按钮，分别对应本章§6.1.1中识别的典型运维场景：</w:t>
      </w:r>
    </w:p>
    <w:p>
      <w:pPr>
        <w:jc w:val="center"/>
      </w:pPr>
      <w:r>
        <w:rPr>
          <w:rFonts w:ascii="宋体" w:hAnsi="宋体" w:eastAsia="宋体"/>
          <w:b/>
        </w:rPr>
        <w:t>表6-3  典型运维场景的权重预设方案</w:t>
      </w:r>
    </w:p>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
              <w:rPr>
                <w:rFonts w:ascii="宋体" w:hAnsi="宋体" w:eastAsia="宋体"/>
                <w:b/>
                <w:sz w:val="16"/>
              </w:rPr>
              <w:t>预设名称</w:t>
            </w:r>
          </w:p>
        </w:tc>
        <w:tc>
          <w:tcPr>
            <w:tcW w:type="dxa" w:w="1439"/>
          </w:tcPr>
          <w:p>
            <w:pPr>
              <w:jc w:val="center"/>
            </w:pPr>
            <w:r/>
            <w:r>
              <w:rPr>
                <w:rFonts w:ascii="宋体" w:hAnsi="宋体" w:eastAsia="宋体"/>
                <w:b/>
                <w:sz w:val="16"/>
              </w:rPr>
              <w:t>COD (%)</w:t>
            </w:r>
          </w:p>
        </w:tc>
        <w:tc>
          <w:tcPr>
            <w:tcW w:type="dxa" w:w="1439"/>
          </w:tcPr>
          <w:p>
            <w:pPr>
              <w:jc w:val="center"/>
            </w:pPr>
            <w:r/>
            <w:r>
              <w:rPr>
                <w:rFonts w:ascii="宋体" w:hAnsi="宋体" w:eastAsia="宋体"/>
                <w:b/>
                <w:sz w:val="16"/>
              </w:rPr>
              <w:t>NH₃-N (%)</w:t>
            </w:r>
          </w:p>
        </w:tc>
        <w:tc>
          <w:tcPr>
            <w:tcW w:type="dxa" w:w="1439"/>
          </w:tcPr>
          <w:p>
            <w:pPr>
              <w:jc w:val="center"/>
            </w:pPr>
            <w:r/>
            <w:r>
              <w:rPr>
                <w:rFonts w:ascii="宋体" w:hAnsi="宋体" w:eastAsia="宋体"/>
                <w:b/>
                <w:sz w:val="16"/>
              </w:rPr>
              <w:t>药剂成本 (%)</w:t>
            </w:r>
          </w:p>
        </w:tc>
        <w:tc>
          <w:tcPr>
            <w:tcW w:type="dxa" w:w="1439"/>
          </w:tcPr>
          <w:p>
            <w:pPr>
              <w:jc w:val="center"/>
            </w:pPr>
            <w:r/>
            <w:r>
              <w:rPr>
                <w:rFonts w:ascii="宋体" w:hAnsi="宋体" w:eastAsia="宋体"/>
                <w:b/>
                <w:sz w:val="16"/>
              </w:rPr>
              <w:t>电耗 (%)</w:t>
            </w:r>
          </w:p>
        </w:tc>
        <w:tc>
          <w:tcPr>
            <w:tcW w:type="dxa" w:w="1439"/>
          </w:tcPr>
          <w:p>
            <w:pPr>
              <w:jc w:val="center"/>
            </w:pPr>
            <w:r/>
            <w:r>
              <w:rPr>
                <w:rFonts w:ascii="宋体" w:hAnsi="宋体" w:eastAsia="宋体"/>
                <w:b/>
                <w:sz w:val="16"/>
              </w:rPr>
              <w:t>污泥产量 (%)</w:t>
            </w:r>
          </w:p>
        </w:tc>
      </w:tr>
      <w:tr>
        <w:tc>
          <w:tcPr>
            <w:tcW w:type="dxa" w:w="1439"/>
          </w:tcPr>
          <w:p>
            <w:pPr>
              <w:jc w:val="center"/>
            </w:pPr>
            <w:r/>
            <w:r>
              <w:rPr>
                <w:rFonts w:ascii="宋体" w:hAnsi="宋体" w:eastAsia="宋体"/>
                <w:sz w:val="16"/>
              </w:rPr>
              <w:t>均衡达标</w:t>
            </w:r>
          </w:p>
        </w:tc>
        <w:tc>
          <w:tcPr>
            <w:tcW w:type="dxa" w:w="1439"/>
          </w:tcPr>
          <w:p>
            <w:pPr>
              <w:jc w:val="center"/>
            </w:pPr>
            <w:r/>
            <w:r>
              <w:rPr>
                <w:rFonts w:ascii="宋体" w:hAnsi="宋体" w:eastAsia="宋体"/>
                <w:sz w:val="16"/>
              </w:rPr>
              <w:t>25</w:t>
            </w:r>
          </w:p>
        </w:tc>
        <w:tc>
          <w:tcPr>
            <w:tcW w:type="dxa" w:w="1439"/>
          </w:tcPr>
          <w:p>
            <w:pPr>
              <w:jc w:val="center"/>
            </w:pPr>
            <w:r/>
            <w:r>
              <w:rPr>
                <w:rFonts w:ascii="宋体" w:hAnsi="宋体" w:eastAsia="宋体"/>
                <w:sz w:val="16"/>
              </w:rPr>
              <w:t>25</w:t>
            </w:r>
          </w:p>
        </w:tc>
        <w:tc>
          <w:tcPr>
            <w:tcW w:type="dxa" w:w="1439"/>
          </w:tcPr>
          <w:p>
            <w:pPr>
              <w:jc w:val="center"/>
            </w:pPr>
            <w:r/>
            <w:r>
              <w:rPr>
                <w:rFonts w:ascii="宋体" w:hAnsi="宋体" w:eastAsia="宋体"/>
                <w:sz w:val="16"/>
              </w:rPr>
              <w:t>20</w:t>
            </w:r>
          </w:p>
        </w:tc>
        <w:tc>
          <w:tcPr>
            <w:tcW w:type="dxa" w:w="1439"/>
          </w:tcPr>
          <w:p>
            <w:pPr>
              <w:jc w:val="center"/>
            </w:pPr>
            <w:r/>
            <w:r>
              <w:rPr>
                <w:rFonts w:ascii="宋体" w:hAnsi="宋体" w:eastAsia="宋体"/>
                <w:sz w:val="16"/>
              </w:rPr>
              <w:t>20</w:t>
            </w:r>
          </w:p>
        </w:tc>
        <w:tc>
          <w:tcPr>
            <w:tcW w:type="dxa" w:w="1439"/>
          </w:tcPr>
          <w:p>
            <w:pPr>
              <w:jc w:val="center"/>
            </w:pPr>
            <w:r/>
            <w:r>
              <w:rPr>
                <w:rFonts w:ascii="宋体" w:hAnsi="宋体" w:eastAsia="宋体"/>
                <w:sz w:val="16"/>
              </w:rPr>
              <w:t>10</w:t>
            </w:r>
          </w:p>
        </w:tc>
      </w:tr>
      <w:tr>
        <w:tc>
          <w:tcPr>
            <w:tcW w:type="dxa" w:w="1439"/>
          </w:tcPr>
          <w:p>
            <w:pPr>
              <w:jc w:val="center"/>
            </w:pPr>
            <w:r/>
            <w:r>
              <w:rPr>
                <w:rFonts w:ascii="宋体" w:hAnsi="宋体" w:eastAsia="宋体"/>
                <w:sz w:val="16"/>
              </w:rPr>
              <w:t>严控成本</w:t>
            </w:r>
          </w:p>
        </w:tc>
        <w:tc>
          <w:tcPr>
            <w:tcW w:type="dxa" w:w="1439"/>
          </w:tcPr>
          <w:p>
            <w:pPr>
              <w:jc w:val="center"/>
            </w:pPr>
            <w:r/>
            <w:r>
              <w:rPr>
                <w:rFonts w:ascii="宋体" w:hAnsi="宋体" w:eastAsia="宋体"/>
                <w:sz w:val="16"/>
              </w:rPr>
              <w:t>10</w:t>
            </w:r>
          </w:p>
        </w:tc>
        <w:tc>
          <w:tcPr>
            <w:tcW w:type="dxa" w:w="1439"/>
          </w:tcPr>
          <w:p>
            <w:pPr>
              <w:jc w:val="center"/>
            </w:pPr>
            <w:r/>
            <w:r>
              <w:rPr>
                <w:rFonts w:ascii="宋体" w:hAnsi="宋体" w:eastAsia="宋体"/>
                <w:sz w:val="16"/>
              </w:rPr>
              <w:t>10</w:t>
            </w:r>
          </w:p>
        </w:tc>
        <w:tc>
          <w:tcPr>
            <w:tcW w:type="dxa" w:w="1439"/>
          </w:tcPr>
          <w:p>
            <w:pPr>
              <w:jc w:val="center"/>
            </w:pPr>
            <w:r/>
            <w:r>
              <w:rPr>
                <w:rFonts w:ascii="宋体" w:hAnsi="宋体" w:eastAsia="宋体"/>
                <w:sz w:val="16"/>
              </w:rPr>
              <w:t>60</w:t>
            </w:r>
          </w:p>
        </w:tc>
        <w:tc>
          <w:tcPr>
            <w:tcW w:type="dxa" w:w="1439"/>
          </w:tcPr>
          <w:p>
            <w:pPr>
              <w:jc w:val="center"/>
            </w:pPr>
            <w:r/>
            <w:r>
              <w:rPr>
                <w:rFonts w:ascii="宋体" w:hAnsi="宋体" w:eastAsia="宋体"/>
                <w:sz w:val="16"/>
              </w:rPr>
              <w:t>10</w:t>
            </w:r>
          </w:p>
        </w:tc>
        <w:tc>
          <w:tcPr>
            <w:tcW w:type="dxa" w:w="1439"/>
          </w:tcPr>
          <w:p>
            <w:pPr>
              <w:jc w:val="center"/>
            </w:pPr>
            <w:r/>
            <w:r>
              <w:rPr>
                <w:rFonts w:ascii="宋体" w:hAnsi="宋体" w:eastAsia="宋体"/>
                <w:sz w:val="16"/>
              </w:rPr>
              <w:t>10</w:t>
            </w:r>
          </w:p>
        </w:tc>
      </w:tr>
      <w:tr>
        <w:tc>
          <w:tcPr>
            <w:tcW w:type="dxa" w:w="1439"/>
          </w:tcPr>
          <w:p>
            <w:pPr>
              <w:jc w:val="center"/>
            </w:pPr>
            <w:r/>
            <w:r>
              <w:rPr>
                <w:rFonts w:ascii="宋体" w:hAnsi="宋体" w:eastAsia="宋体"/>
                <w:sz w:val="16"/>
              </w:rPr>
              <w:t>优先脱氮</w:t>
            </w:r>
          </w:p>
        </w:tc>
        <w:tc>
          <w:tcPr>
            <w:tcW w:type="dxa" w:w="1439"/>
          </w:tcPr>
          <w:p>
            <w:pPr>
              <w:jc w:val="center"/>
            </w:pPr>
            <w:r/>
            <w:r>
              <w:rPr>
                <w:rFonts w:ascii="宋体" w:hAnsi="宋体" w:eastAsia="宋体"/>
                <w:sz w:val="16"/>
              </w:rPr>
              <w:t>10</w:t>
            </w:r>
          </w:p>
        </w:tc>
        <w:tc>
          <w:tcPr>
            <w:tcW w:type="dxa" w:w="1439"/>
          </w:tcPr>
          <w:p>
            <w:pPr>
              <w:jc w:val="center"/>
            </w:pPr>
            <w:r/>
            <w:r>
              <w:rPr>
                <w:rFonts w:ascii="宋体" w:hAnsi="宋体" w:eastAsia="宋体"/>
                <w:sz w:val="16"/>
              </w:rPr>
              <w:t>60</w:t>
            </w:r>
          </w:p>
        </w:tc>
        <w:tc>
          <w:tcPr>
            <w:tcW w:type="dxa" w:w="1439"/>
          </w:tcPr>
          <w:p>
            <w:pPr>
              <w:jc w:val="center"/>
            </w:pPr>
            <w:r/>
            <w:r>
              <w:rPr>
                <w:rFonts w:ascii="宋体" w:hAnsi="宋体" w:eastAsia="宋体"/>
                <w:sz w:val="16"/>
              </w:rPr>
              <w:t>10</w:t>
            </w:r>
          </w:p>
        </w:tc>
        <w:tc>
          <w:tcPr>
            <w:tcW w:type="dxa" w:w="1439"/>
          </w:tcPr>
          <w:p>
            <w:pPr>
              <w:jc w:val="center"/>
            </w:pPr>
            <w:r/>
            <w:r>
              <w:rPr>
                <w:rFonts w:ascii="宋体" w:hAnsi="宋体" w:eastAsia="宋体"/>
                <w:sz w:val="16"/>
              </w:rPr>
              <w:t>10</w:t>
            </w:r>
          </w:p>
        </w:tc>
        <w:tc>
          <w:tcPr>
            <w:tcW w:type="dxa" w:w="1439"/>
          </w:tcPr>
          <w:p>
            <w:pPr>
              <w:jc w:val="center"/>
            </w:pPr>
            <w:r/>
            <w:r>
              <w:rPr>
                <w:rFonts w:ascii="宋体" w:hAnsi="宋体" w:eastAsia="宋体"/>
                <w:sz w:val="16"/>
              </w:rPr>
              <w:t>10</w:t>
            </w:r>
          </w:p>
        </w:tc>
      </w:tr>
      <w:tr>
        <w:tc>
          <w:tcPr>
            <w:tcW w:type="dxa" w:w="1439"/>
          </w:tcPr>
          <w:p>
            <w:pPr>
              <w:jc w:val="center"/>
            </w:pPr>
            <w:r/>
            <w:r>
              <w:rPr>
                <w:rFonts w:ascii="宋体" w:hAnsi="宋体" w:eastAsia="宋体"/>
                <w:sz w:val="16"/>
              </w:rPr>
              <w:t>节能降耗</w:t>
            </w:r>
          </w:p>
        </w:tc>
        <w:tc>
          <w:tcPr>
            <w:tcW w:type="dxa" w:w="1439"/>
          </w:tcPr>
          <w:p>
            <w:pPr>
              <w:jc w:val="center"/>
            </w:pPr>
            <w:r/>
            <w:r>
              <w:rPr>
                <w:rFonts w:ascii="宋体" w:hAnsi="宋体" w:eastAsia="宋体"/>
                <w:sz w:val="16"/>
              </w:rPr>
              <w:t>10</w:t>
            </w:r>
          </w:p>
        </w:tc>
        <w:tc>
          <w:tcPr>
            <w:tcW w:type="dxa" w:w="1439"/>
          </w:tcPr>
          <w:p>
            <w:pPr>
              <w:jc w:val="center"/>
            </w:pPr>
            <w:r/>
            <w:r>
              <w:rPr>
                <w:rFonts w:ascii="宋体" w:hAnsi="宋体" w:eastAsia="宋体"/>
                <w:sz w:val="16"/>
              </w:rPr>
              <w:t>10</w:t>
            </w:r>
          </w:p>
        </w:tc>
        <w:tc>
          <w:tcPr>
            <w:tcW w:type="dxa" w:w="1439"/>
          </w:tcPr>
          <w:p>
            <w:pPr>
              <w:jc w:val="center"/>
            </w:pPr>
            <w:r/>
            <w:r>
              <w:rPr>
                <w:rFonts w:ascii="宋体" w:hAnsi="宋体" w:eastAsia="宋体"/>
                <w:sz w:val="16"/>
              </w:rPr>
              <w:t>10</w:t>
            </w:r>
          </w:p>
        </w:tc>
        <w:tc>
          <w:tcPr>
            <w:tcW w:type="dxa" w:w="1439"/>
          </w:tcPr>
          <w:p>
            <w:pPr>
              <w:jc w:val="center"/>
            </w:pPr>
            <w:r/>
            <w:r>
              <w:rPr>
                <w:rFonts w:ascii="宋体" w:hAnsi="宋体" w:eastAsia="宋体"/>
                <w:sz w:val="16"/>
              </w:rPr>
              <w:t>60</w:t>
            </w:r>
          </w:p>
        </w:tc>
        <w:tc>
          <w:tcPr>
            <w:tcW w:type="dxa" w:w="1439"/>
          </w:tcPr>
          <w:p>
            <w:pPr>
              <w:jc w:val="center"/>
            </w:pPr>
            <w:r/>
            <w:r>
              <w:rPr>
                <w:rFonts w:ascii="宋体" w:hAnsi="宋体" w:eastAsia="宋体"/>
                <w:sz w:val="16"/>
              </w:rPr>
              <w:t>10</w:t>
            </w:r>
          </w:p>
        </w:tc>
      </w:tr>
    </w:tbl>
    <w:p/>
    <w:p>
      <w:pPr>
        <w:pStyle w:val="Heading2"/>
      </w:pPr>
      <w:r>
        <w:rPr>
          <w:rFonts w:ascii="黑体" w:hAnsi="黑体" w:eastAsia="黑体"/>
        </w:rPr>
        <w:t>6.4.2  雷达图实时反馈与方案对比</w:t>
      </w:r>
    </w:p>
    <w:p>
      <w:pPr>
        <w:ind w:firstLine="420"/>
      </w:pPr>
      <w:r>
        <w:rPr>
          <w:rFonts w:ascii="宋体" w:hAnsi="宋体" w:eastAsia="宋体"/>
          <w:b w:val="0"/>
        </w:rPr>
        <w:t>底部面板为"推荐方案区"，以表格形式展示当前权重分配下的最优工艺参数组合，包含以下字段：石灰投加量（kg/h）、UASB容积负荷（kgCOD·m⁻³·d⁻¹）、DO设定值（mg/L）、污泥回流比（R，无量纲）、PAC投加量（kg/h）。表格右侧标注该推荐方案的综合得分（即GRA-TOPSIS方法中的相对贴近度Cᵢ，取值0-1，越大越优）。</w:t>
      </w:r>
    </w:p>
    <w:p>
      <w:pPr>
        <w:ind w:firstLine="420"/>
      </w:pPr>
      <w:r>
        <w:rPr>
          <w:rFonts w:ascii="宋体" w:hAnsi="宋体" w:eastAsia="宋体"/>
          <w:b w:val="0"/>
        </w:rPr>
        <w:t>推荐方案的生成逻辑如下：权重输入 → 浏览页后端调用gra_topsis.evaluate(weights_dict)函数 → 函数内部执行以下步骤：（1）从SQLite加载Ch3所有实验方案的原始五维指标值矩阵（§3.4.1表3-2）；（2）基于输入权重重新计算加权标准化矩阵；（3）计算各方案与理想解和负理想解的灰色关联度；（4）计算TOPSIS相对贴近度Cᵢ并降序排列；（5）返回排序后的方案列表和雷达图数据。由于计算矩阵维度仅为n×5（n为实验方案数，约15-20），函数执行时间约0.3-0.5秒，满足实时交互需求。</w:t>
      </w:r>
    </w:p>
    <w:p>
      <w:pPr>
        <w:ind w:firstLine="420"/>
      </w:pPr>
      <w:r>
        <w:rPr>
          <w:rFonts w:ascii="宋体" w:hAnsi="宋体" w:eastAsia="宋体"/>
          <w:b w:val="0"/>
        </w:rPr>
        <w:t>同时展示推荐方案与当前原工艺运行方案的五维雷达图叠加对比——前者以蓝色实心填充多边形表示，后者以灰色虚线多边形表示。对比图可直观呈现优化方案在哪些维度优于原工艺、哪些维度可能存在一定程度的让步（如"为了降低成本，COD去除率从92%微降至89%，但吨水成本下降了0.6元"），使工艺工程师的决策具有可视化、可量化的依据。</w:t>
      </w:r>
    </w:p>
    <w:p>
      <w:pPr>
        <w:ind w:firstLine="0"/>
        <w:jc w:val="center"/>
      </w:pPr>
      <w:r>
        <w:rPr>
          <w:rFonts w:ascii="宋体" w:hAnsi="宋体" w:eastAsia="宋体"/>
          <w:b/>
          <w:color w:val="808080"/>
          <w:sz w:val="22"/>
        </w:rPr>
        <w:t>[[图6-4]]</w:t>
      </w:r>
    </w:p>
    <w:p>
      <w:pPr>
        <w:ind w:firstLine="0"/>
        <w:jc w:val="center"/>
      </w:pPr>
      <w:r>
        <w:rPr>
          <w:rFonts w:ascii="宋体" w:hAnsi="宋体" w:eastAsia="宋体"/>
          <w:color w:val="808080"/>
          <w:sz w:val="18"/>
        </w:rPr>
        <w:t>参数优选Tab完整页面截图（待浏览页开发完成后截取，1920×1080 PNG）</w:t>
        <w:br/>
        <w:t>需标注：左侧5个权重滑块及其归一化百分比、右侧雷达图、底部最优方案表格（含石灰/UASB/DO/R/PAC推荐值）、蓝色（优化）vs灰色（原工艺）雷达图叠加</w:t>
      </w:r>
    </w:p>
    <w:p/>
    <w:p>
      <w:pPr>
        <w:spacing w:after="240"/>
        <w:ind w:firstLine="0"/>
        <w:jc w:val="center"/>
      </w:pPr>
      <w:r>
        <w:rPr>
          <w:rFonts w:ascii="宋体" w:hAnsi="宋体" w:eastAsia="宋体"/>
          <w:sz w:val="18"/>
        </w:rPr>
        <w:t>图6-4  参数优选页界面</w:t>
      </w:r>
    </w:p>
    <w:p/>
    <w:p>
      <w:pPr>
        <w:pStyle w:val="Heading1"/>
      </w:pPr>
      <w:r>
        <w:rPr>
          <w:rFonts w:ascii="黑体" w:hAnsi="黑体" w:eastAsia="黑体"/>
        </w:rPr>
        <w:t>6.5  控制调参页 —— PSO-模糊PID的可视化调优</w:t>
      </w:r>
    </w:p>
    <w:p>
      <w:pPr>
        <w:pStyle w:val="Heading2"/>
      </w:pPr>
      <w:r>
        <w:rPr>
          <w:rFonts w:ascii="黑体" w:hAnsi="黑体" w:eastAsia="黑体"/>
        </w:rPr>
        <w:t>6.5.1  PSO迭代过程可视化</w:t>
      </w:r>
    </w:p>
    <w:p>
      <w:pPr>
        <w:ind w:firstLine="420"/>
      </w:pPr>
      <w:r>
        <w:rPr>
          <w:rFonts w:ascii="宋体" w:hAnsi="宋体" w:eastAsia="宋体"/>
          <w:b w:val="0"/>
        </w:rPr>
        <w:t>控制调参页为Ch4中PSO-模糊PID自适应控制器（详见§4.2）的前端交互接口。当操作工发现加药控制系统的响应质量出现退化——表现为超调量增大、调节时间延长或稳态误差扩大——通常发生于进水水质发生显著季节性变化或生产工序大幅调整后——可进入此页面，基于最近2小时的运行数据重新执行粒子群算法（PSO）寻优，获取更新后的模糊PID隶属度函数参数。</w:t>
      </w:r>
    </w:p>
    <w:p>
      <w:pPr>
        <w:ind w:firstLine="420"/>
      </w:pPr>
      <w:r>
        <w:rPr>
          <w:rFonts w:ascii="宋体" w:hAnsi="宋体" w:eastAsia="宋体"/>
          <w:b w:val="0"/>
        </w:rPr>
        <w:t>页面顶部为"数据选取区"，包含一个时间范围选择器（默认选中"过去2小时"）和一个"开始寻优"按钮。点击按钮后，浏览页后端从SQLite中读取指定时间窗口内的水质与加药量时序数据，调用pso_fuzzy_pid.optimize_membership(data_2h)函数，启动PSO寻优进程。</w:t>
      </w:r>
    </w:p>
    <w:p>
      <w:pPr>
        <w:ind w:firstLine="420"/>
      </w:pPr>
      <w:r>
        <w:rPr>
          <w:rFonts w:ascii="宋体" w:hAnsi="宋体" w:eastAsia="宋体"/>
          <w:b w:val="0"/>
        </w:rPr>
        <w:t>页面中央为PSO迭代收敛曲线，以st.line_chart组件实时绘制。横轴为迭代代数（范围0-50），纵轴为适应度函数值（ITAE = ∫t·|e(t)|dt，即时间乘绝对误差积分——该指标对长时间存在的偏差施加更重的惩罚，相比ISE（平方误差积分）和IAE（绝对误差积分）更适合评估控制系统的瞬态响应品质）。寻优进程中，曲线以动画形式逐代更新：前10代适应度值快速下降（粒子群在搜索空间中快速收敛至近优区域），第10至30代下降速率趋缓（粒子在近优区域内精细搜索），第30至50代趋于平台（收敛）。整个寻优过程持续约2-3秒（在Intel Core i5-12400 CPU上测试）。</w:t>
      </w:r>
    </w:p>
    <w:p>
      <w:pPr>
        <w:ind w:firstLine="420"/>
      </w:pPr>
      <w:r>
        <w:rPr>
          <w:rFonts w:ascii="宋体" w:hAnsi="宋体" w:eastAsia="宋体"/>
          <w:b w:val="0"/>
        </w:rPr>
        <w:t>曲线下方的状态栏同步显示当前迭代代数和该代最优适应度值。寻优完成后，状态栏变为绿色并显示"寻优完成"及最终最优适应度值。</w:t>
      </w:r>
    </w:p>
    <w:p>
      <w:pPr>
        <w:pStyle w:val="Heading2"/>
      </w:pPr>
      <w:r>
        <w:rPr>
          <w:rFonts w:ascii="黑体" w:hAnsi="黑体" w:eastAsia="黑体"/>
        </w:rPr>
        <w:t>6.5.2  三联PID性能对比与参数导出</w:t>
      </w:r>
    </w:p>
    <w:p>
      <w:pPr>
        <w:ind w:firstLine="420"/>
      </w:pPr>
      <w:r>
        <w:rPr>
          <w:rFonts w:ascii="宋体" w:hAnsi="宋体" w:eastAsia="宋体"/>
          <w:b w:val="0"/>
        </w:rPr>
        <w:t>寻优完成后，页面下半部分展示三联PID控制器的性能对比信息：（1）标准PID——固定Kp/Ki/Kd参数（即Ch4中SLIDE 20记录的原始PID参数，该参数在系统调试阶段整定，后续未再调整）；（2）手动模糊PID——操作工经验构建的7×7模糊规则表及均匀三角隶属度函数（即浏览页部署前系统使用的控制方案）；（3）PSO-模糊PID——本次PSO寻优获得的优化后隶属度函数参数。三者的加药泵响应曲线在同一坐标系中叠加对比：横轴为时间（min），纵轴为加药泵的实际输出流量（kg/h），模拟同一水质冲击事件（COD在5分钟内从1500升至2800 mg/L的阶跃输入）下的闭环响应。红色曲线为标准PID，蓝色曲线为手动模糊PID，绿色曲线为PSO-模糊PID。该冲击事件的幅值和斜率来源于Ch2中水质波动分析（§2.1.2）实测的典型最大工序切换冲击。</w:t>
      </w:r>
    </w:p>
    <w:p>
      <w:pPr>
        <w:ind w:firstLine="420"/>
      </w:pPr>
      <w:r>
        <w:rPr>
          <w:rFonts w:ascii="宋体" w:hAnsi="宋体" w:eastAsia="宋体"/>
          <w:b w:val="0"/>
        </w:rPr>
        <w:t>三联响应曲线下方为四项定量性能指标的对比表：</w:t>
      </w:r>
    </w:p>
    <w:p>
      <w:pPr>
        <w:jc w:val="center"/>
      </w:pPr>
      <w:r>
        <w:rPr>
          <w:rFonts w:ascii="宋体" w:hAnsi="宋体" w:eastAsia="宋体"/>
          <w:b/>
        </w:rPr>
        <w:t>表6-4  三联PID控制器性能指标对比（数据待浏览页实际运行后填入）</w:t>
      </w:r>
    </w:p>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
              <w:rPr>
                <w:rFonts w:ascii="宋体" w:hAnsi="宋体" w:eastAsia="宋体"/>
                <w:b/>
                <w:sz w:val="16"/>
              </w:rPr>
              <w:t>性能指标</w:t>
            </w:r>
          </w:p>
        </w:tc>
        <w:tc>
          <w:tcPr>
            <w:tcW w:type="dxa" w:w="1439"/>
          </w:tcPr>
          <w:p>
            <w:pPr>
              <w:jc w:val="center"/>
            </w:pPr>
            <w:r/>
            <w:r>
              <w:rPr>
                <w:rFonts w:ascii="宋体" w:hAnsi="宋体" w:eastAsia="宋体"/>
                <w:b/>
                <w:sz w:val="16"/>
              </w:rPr>
              <w:t>标准PID</w:t>
            </w:r>
          </w:p>
        </w:tc>
        <w:tc>
          <w:tcPr>
            <w:tcW w:type="dxa" w:w="1439"/>
          </w:tcPr>
          <w:p>
            <w:pPr>
              <w:jc w:val="center"/>
            </w:pPr>
            <w:r/>
            <w:r>
              <w:rPr>
                <w:rFonts w:ascii="宋体" w:hAnsi="宋体" w:eastAsia="宋体"/>
                <w:b/>
                <w:sz w:val="16"/>
              </w:rPr>
              <w:t>手动模糊PID</w:t>
            </w:r>
          </w:p>
        </w:tc>
        <w:tc>
          <w:tcPr>
            <w:tcW w:type="dxa" w:w="1439"/>
          </w:tcPr>
          <w:p>
            <w:pPr>
              <w:jc w:val="center"/>
            </w:pPr>
            <w:r/>
            <w:r>
              <w:rPr>
                <w:rFonts w:ascii="宋体" w:hAnsi="宋体" w:eastAsia="宋体"/>
                <w:b/>
                <w:sz w:val="16"/>
              </w:rPr>
              <w:t>PSO-模糊PID</w:t>
            </w:r>
          </w:p>
        </w:tc>
        <w:tc>
          <w:tcPr>
            <w:tcW w:type="dxa" w:w="1439"/>
          </w:tcPr>
          <w:p>
            <w:pPr>
              <w:jc w:val="center"/>
            </w:pPr>
            <w:r/>
            <w:r>
              <w:rPr>
                <w:rFonts w:ascii="宋体" w:hAnsi="宋体" w:eastAsia="宋体"/>
                <w:b/>
                <w:sz w:val="16"/>
              </w:rPr>
              <w:t>PSO vs 手动改善</w:t>
            </w:r>
          </w:p>
        </w:tc>
        <w:tc>
          <w:tcPr>
            <w:tcW w:type="dxa" w:w="1439"/>
          </w:tcPr>
          <w:p>
            <w:pPr>
              <w:jc w:val="center"/>
            </w:pPr>
            <w:r/>
            <w:r>
              <w:rPr>
                <w:rFonts w:ascii="宋体" w:hAnsi="宋体" w:eastAsia="宋体"/>
                <w:b/>
                <w:sz w:val="16"/>
              </w:rPr>
              <w:t>PSO vs 标准改善</w:t>
            </w:r>
          </w:p>
        </w:tc>
      </w:tr>
      <w:tr>
        <w:tc>
          <w:tcPr>
            <w:tcW w:type="dxa" w:w="1439"/>
          </w:tcPr>
          <w:p>
            <w:pPr>
              <w:jc w:val="center"/>
            </w:pPr>
            <w:r/>
            <w:r>
              <w:rPr>
                <w:rFonts w:ascii="宋体" w:hAnsi="宋体" w:eastAsia="宋体"/>
                <w:sz w:val="16"/>
              </w:rPr>
              <w:t>超调量 (%)</w:t>
            </w:r>
          </w:p>
        </w:tc>
        <w:tc>
          <w:tcPr>
            <w:tcW w:type="dxa" w:w="1439"/>
          </w:tcPr>
          <w:p>
            <w:pPr>
              <w:jc w:val="center"/>
            </w:pPr>
            <w:r/>
            <w:r>
              <w:rPr>
                <w:rFonts w:ascii="宋体" w:hAnsi="宋体" w:eastAsia="宋体"/>
                <w:sz w:val="16"/>
              </w:rPr>
              <w:t>—（待填入实测数据）</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r>
      <w:tr>
        <w:tc>
          <w:tcPr>
            <w:tcW w:type="dxa" w:w="1439"/>
          </w:tcPr>
          <w:p>
            <w:pPr>
              <w:jc w:val="center"/>
            </w:pPr>
            <w:r/>
            <w:r>
              <w:rPr>
                <w:rFonts w:ascii="宋体" w:hAnsi="宋体" w:eastAsia="宋体"/>
                <w:sz w:val="16"/>
              </w:rPr>
              <w:t>稳态误差 (%)</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r>
      <w:tr>
        <w:tc>
          <w:tcPr>
            <w:tcW w:type="dxa" w:w="1439"/>
          </w:tcPr>
          <w:p>
            <w:pPr>
              <w:jc w:val="center"/>
            </w:pPr>
            <w:r/>
            <w:r>
              <w:rPr>
                <w:rFonts w:ascii="宋体" w:hAnsi="宋体" w:eastAsia="宋体"/>
                <w:sz w:val="16"/>
              </w:rPr>
              <w:t>调节时间 (min)</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r>
      <w:tr>
        <w:tc>
          <w:tcPr>
            <w:tcW w:type="dxa" w:w="1439"/>
          </w:tcPr>
          <w:p>
            <w:pPr>
              <w:jc w:val="center"/>
            </w:pPr>
            <w:r/>
            <w:r>
              <w:rPr>
                <w:rFonts w:ascii="宋体" w:hAnsi="宋体" w:eastAsia="宋体"/>
                <w:sz w:val="16"/>
              </w:rPr>
              <w:t>泵启停次数 (次/天)</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c>
          <w:tcPr>
            <w:tcW w:type="dxa" w:w="1439"/>
          </w:tcPr>
          <w:p>
            <w:pPr>
              <w:jc w:val="center"/>
            </w:pPr>
            <w:r/>
            <w:r>
              <w:rPr>
                <w:rFonts w:ascii="宋体" w:hAnsi="宋体" w:eastAsia="宋体"/>
                <w:sz w:val="16"/>
              </w:rPr>
              <w:t>—</w:t>
            </w:r>
          </w:p>
        </w:tc>
      </w:tr>
    </w:tbl>
    <w:p/>
    <w:p>
      <w:pPr>
        <w:ind w:firstLine="420"/>
      </w:pPr>
      <w:r>
        <w:rPr>
          <w:rFonts w:ascii="宋体" w:hAnsi="宋体" w:eastAsia="宋体"/>
          <w:b w:val="0"/>
        </w:rPr>
        <w:t>操作工可点击页面底部的"导出参数至PLC"按钮，将优化后的隶属度函数参数（三个隶属度函数的中心点、宽度和七条规则权重共计约30个参数值）以CSV文件格式保存至中控室指定共享目录，后续通过PLC编程软件（如西门子TIA Portal或三菱GX Works）手动导入。浏览页不自建与PLC的直接通信协议——参数传递全程保留人工确认环节，符合工业现场"人机协同"的安全操作规程。</w:t>
      </w:r>
    </w:p>
    <w:p>
      <w:pPr>
        <w:ind w:firstLine="0"/>
        <w:jc w:val="center"/>
      </w:pPr>
      <w:r>
        <w:rPr>
          <w:rFonts w:ascii="宋体" w:hAnsi="宋体" w:eastAsia="宋体"/>
          <w:b/>
          <w:color w:val="808080"/>
          <w:sz w:val="22"/>
        </w:rPr>
        <w:t>[[图6-5]]</w:t>
      </w:r>
    </w:p>
    <w:p>
      <w:pPr>
        <w:ind w:firstLine="0"/>
        <w:jc w:val="center"/>
      </w:pPr>
      <w:r>
        <w:rPr>
          <w:rFonts w:ascii="宋体" w:hAnsi="宋体" w:eastAsia="宋体"/>
          <w:color w:val="808080"/>
          <w:sz w:val="18"/>
        </w:rPr>
        <w:t>控制调参Tab完整页面截图（待浏览页开发完成后截取，1920×1080 PNG）</w:t>
        <w:br/>
        <w:t>需标注：上部PSO收敛曲线（0-50代下降动画）、中部三联PID响应曲线（红/蓝/绿三色叠加在同一冲击事件下）、下部四维性能指标表、"导出参数至PLC"按钮</w:t>
      </w:r>
    </w:p>
    <w:p/>
    <w:p>
      <w:pPr>
        <w:spacing w:after="240"/>
        <w:ind w:firstLine="0"/>
        <w:jc w:val="center"/>
      </w:pPr>
      <w:r>
        <w:rPr>
          <w:rFonts w:ascii="宋体" w:hAnsi="宋体" w:eastAsia="宋体"/>
          <w:sz w:val="18"/>
        </w:rPr>
        <w:t>图6-5  控制调参页界面</w:t>
      </w:r>
    </w:p>
    <w:p/>
    <w:p>
      <w:pPr>
        <w:pStyle w:val="Heading1"/>
      </w:pPr>
      <w:r>
        <w:rPr>
          <w:rFonts w:ascii="黑体" w:hAnsi="黑体" w:eastAsia="黑体"/>
        </w:rPr>
        <w:t>6.6  设备监测页</w:t>
      </w:r>
    </w:p>
    <w:p>
      <w:pPr>
        <w:pStyle w:val="Heading2"/>
      </w:pPr>
      <w:r>
        <w:rPr>
          <w:rFonts w:ascii="黑体" w:hAnsi="黑体" w:eastAsia="黑体"/>
        </w:rPr>
        <w:t>6.6.1  RO膜健康监测与反洗预警</w:t>
      </w:r>
    </w:p>
    <w:p>
      <w:pPr>
        <w:ind w:firstLine="420"/>
      </w:pPr>
      <w:r>
        <w:rPr>
          <w:rFonts w:ascii="宋体" w:hAnsi="宋体" w:eastAsia="宋体"/>
          <w:b w:val="0"/>
        </w:rPr>
        <w:t>设备监测页集成了Ch5中反渗透设备改进（详见§5.1）和浓水回收系统（详见§5.2）的运行数据可视化功能，使操作工无需在不同系统之间切换即可获取RO和浓水回收的关键状态信息。</w:t>
      </w:r>
    </w:p>
    <w:p>
      <w:pPr>
        <w:ind w:firstLine="420"/>
      </w:pPr>
      <w:r>
        <w:rPr>
          <w:rFonts w:ascii="宋体" w:hAnsi="宋体" w:eastAsia="宋体"/>
          <w:b w:val="0"/>
        </w:rPr>
        <w:t>RO膜健康监测以跨膜压差（Transmembrane Pressure, TMP）为核心参数。TMP定义为RO膜进水侧压力与产水侧压力之差（单位：bar）。在膜过滤过程中，随着胶体颗粒、硅垢和微生物在膜表面的逐渐沉积，TMP呈单调上升趋势——这是膜污染的定量表征。浏览页以st.line_chart实时绘制TMP的24小时衰减曲线（横轴为时间，纵轴为TMP值），并在图表上叠加两条水平预警线：黄色预警线（TMP = 运行初始TMP值 × 1.5，即压差上升50%）和红色报警线（TMP = 运行初始TMP值 × 2.0，即压差上升100%）。当前TMP值以st.metric组件大字体实时展示。</w:t>
      </w:r>
    </w:p>
    <w:p>
      <w:pPr>
        <w:ind w:firstLine="420"/>
      </w:pPr>
      <w:r>
        <w:rPr>
          <w:rFonts w:ascii="宋体" w:hAnsi="宋体" w:eastAsia="宋体"/>
          <w:b w:val="0"/>
        </w:rPr>
        <w:t>反洗倒计时功能基于TMP的当前上升速率进行线性预测。上升速率由最近7天TMP数据的线性回归斜率估计（最小二乘法，st.linregress实现）。反洗倒计时（天）=（黄色预警线TMP值 − 当前TMP值）/ 上升速率。预测结果以st.metric仪表盘展示，单位为"天"，保留一位小数。当倒计时低于1天时，数字变为红色并闪烁以提醒操作工尽快安排反洗。当倒计时低于0.5天时，系统自动通过企业微信推送反洗提醒（详见§6.9.3）。</w:t>
      </w:r>
    </w:p>
    <w:p>
      <w:pPr>
        <w:ind w:firstLine="420"/>
      </w:pPr>
      <w:r>
        <w:rPr>
          <w:rFonts w:ascii="宋体" w:hAnsi="宋体" w:eastAsia="宋体"/>
          <w:b w:val="0"/>
        </w:rPr>
        <w:t>膜更换时间预测以TMP达到红色报警线为判断条件。计算公式为（红色报警线TMP值 − 当前TMP值）/ 上升速率，单位转换为月。预测结果作为参考信息展示在反洗倒计时的下方，以灰色小字显示，不作为自动推送的触发条件。</w:t>
      </w:r>
    </w:p>
    <w:p>
      <w:pPr>
        <w:pStyle w:val="Heading2"/>
      </w:pPr>
      <w:r>
        <w:rPr>
          <w:rFonts w:ascii="黑体" w:hAnsi="黑体" w:eastAsia="黑体"/>
        </w:rPr>
        <w:t>6.6.2  浓水回用率实时追踪</w:t>
      </w:r>
    </w:p>
    <w:p>
      <w:pPr>
        <w:ind w:firstLine="420"/>
      </w:pPr>
      <w:r>
        <w:rPr>
          <w:rFonts w:ascii="宋体" w:hAnsi="宋体" w:eastAsia="宋体"/>
          <w:b w:val="0"/>
        </w:rPr>
        <w:t>浓水回用率定义为反渗透浓水回用于硅片清洗工序的水量（m³/d）除以RO系统的总浓水产量（m³/d），以百分比表示。浏览页以st.metric仪表盘实时展示当日回用率值，颜色根据与Ch5中确定的65%目标值的偏离程度变化：绿色（回用率≥65%，达到设计目标）、黄色（60%≤回用率&lt;65%，轻度不达标）、红色（回用率&lt;60%，严重不达标）。仪表盘旁边以小型st.line_chart展示过去7日的回用率变化趋势，帮助操作工判断回用率是在改善还是恶化。</w:t>
      </w:r>
    </w:p>
    <w:p>
      <w:pPr>
        <w:ind w:firstLine="420"/>
      </w:pPr>
      <w:r>
        <w:rPr>
          <w:rFonts w:ascii="宋体" w:hAnsi="宋体" w:eastAsia="宋体"/>
          <w:b w:val="0"/>
        </w:rPr>
        <w:t>当回用率低于60%时，浏览页以黄色横幅提示操作工排查可能原因——浓水回收管路上阀门是否误关闭、浓水水质是否发生突变导致不适合回用、清洗车间用水量是否异常减少等。排查建议的详细步骤已写入AI助手页的运维知识库，操作工可直接跳转提问。</w:t>
      </w:r>
    </w:p>
    <w:p>
      <w:pPr>
        <w:ind w:firstLine="0"/>
        <w:jc w:val="center"/>
      </w:pPr>
      <w:r>
        <w:rPr>
          <w:rFonts w:ascii="宋体" w:hAnsi="宋体" w:eastAsia="宋体"/>
          <w:b/>
          <w:color w:val="808080"/>
          <w:sz w:val="22"/>
        </w:rPr>
        <w:t>[[图6-6]]</w:t>
      </w:r>
    </w:p>
    <w:p>
      <w:pPr>
        <w:ind w:firstLine="0"/>
        <w:jc w:val="center"/>
      </w:pPr>
      <w:r>
        <w:rPr>
          <w:rFonts w:ascii="宋体" w:hAnsi="宋体" w:eastAsia="宋体"/>
          <w:color w:val="808080"/>
          <w:sz w:val="18"/>
        </w:rPr>
        <w:t>设备监测Tab完整页面截图（待浏览页开发完成后截取，1920×1080 PNG）</w:t>
        <w:br/>
        <w:t>需标注：左侧RO膜TMP衰减曲线+黄色/红色预警线+反洗倒计时仪表盘、右侧浓水回用率仪表盘+7日趋势小折线图</w:t>
      </w:r>
    </w:p>
    <w:p/>
    <w:p>
      <w:pPr>
        <w:spacing w:after="240"/>
        <w:ind w:firstLine="0"/>
        <w:jc w:val="center"/>
      </w:pPr>
      <w:r>
        <w:rPr>
          <w:rFonts w:ascii="宋体" w:hAnsi="宋体" w:eastAsia="宋体"/>
          <w:sz w:val="18"/>
        </w:rPr>
        <w:t>图6-6  设备监测页界面</w:t>
      </w:r>
    </w:p>
    <w:p/>
    <w:p>
      <w:pPr>
        <w:pStyle w:val="Heading1"/>
      </w:pPr>
      <w:r>
        <w:rPr>
          <w:rFonts w:ascii="黑体" w:hAnsi="黑体" w:eastAsia="黑体"/>
        </w:rPr>
        <w:t>6.7  AI助手页</w:t>
      </w:r>
    </w:p>
    <w:p>
      <w:pPr>
        <w:pStyle w:val="Heading2"/>
      </w:pPr>
      <w:r>
        <w:rPr>
          <w:rFonts w:ascii="黑体" w:hAnsi="黑体" w:eastAsia="黑体"/>
        </w:rPr>
        <w:t>6.7.1  基于RAG的运维知识检索</w:t>
      </w:r>
    </w:p>
    <w:p>
      <w:pPr>
        <w:ind w:firstLine="420"/>
      </w:pPr>
      <w:r>
        <w:rPr>
          <w:rFonts w:ascii="宋体" w:hAnsi="宋体" w:eastAsia="宋体"/>
          <w:b w:val="0"/>
        </w:rPr>
        <w:t>AI助手页是本浏览页新增的智能交互功能模块，旨在利用检索增强生成（Retrieval-Augmented Generation, RAG）技术将论文研究期间积累的运维知识转化为操作工可通过自然语言直接查询的智能问答系统。这一功能的开发直接回应痛点二（异常工况排查依赖老员工经验），将"老员工脑子里的经验"外化为"浏览器里随时可查的知识库"。</w:t>
      </w:r>
    </w:p>
    <w:p>
      <w:pPr>
        <w:ind w:firstLine="420"/>
      </w:pPr>
      <w:r>
        <w:rPr>
          <w:rFonts w:ascii="宋体" w:hAnsi="宋体" w:eastAsia="宋体"/>
          <w:b w:val="0"/>
        </w:rPr>
        <w:t>运维知识库包含以下三类内容：（1）实习期间记录的故障处理笔记，涵盖膜污染清洗操作、加药泵堵塞疏通流程、UASB酸化恢复策略、混凝沉淀效果下降排查、MBR曝气不均调整等典型场景，每类场景含现象描述、根因分析、处理步骤和恢复验证四个结构化字段；（2）操作工访谈记录，整理三位工龄5年以上资深操作工的口述经验，按"异常现象-排查清单-常见根因-处理措施"组织为键值对条目；（3）中试运行期间记录的所有异常事件及处理过程，含事件编号、发生日期、事件描述、根因分类（设备故障/操作失误/水质冲击/其他）、采取的措施、恢复正常所需时间共6个结构化字段。以上三类内容经脱敏处理后以JSON Lines格式存储，总计约XX条知识条目（具体数量待知识库整理完成后填入）。</w:t>
      </w:r>
    </w:p>
    <w:p>
      <w:pPr>
        <w:ind w:firstLine="420"/>
      </w:pPr>
      <w:r>
        <w:rPr>
          <w:rFonts w:ascii="宋体" w:hAnsi="宋体" w:eastAsia="宋体"/>
          <w:b w:val="0"/>
        </w:rPr>
        <w:t>RAG检索流程分为五步：第一步，用户问题向量化——操作工在输入框中输入自然语言问题（如"出水COD今天1860，怎么处理？"），系统使用中文文本嵌入模型（text2vec-base-chinese）将问题转换为768维向量；第二步，向量相似度检索——在预先构建的FAISS向量索引中，通过余弦相似度算法检索与问题向量最相似的top-5条知识条目；第三步，上下文组装——将检索到的5条知识条目格式化为"知识1：[条目内容]</w:t>
        <w:br/>
        <w:t>知识2：[条目内容]</w:t>
        <w:br/>
        <w:t>..."的字符串，拼入预先设计的prompt模板；第四步，LLM推理——将组装后的完整prompt发送至本地部署的Qwen2-7B-Instruct GGUF量化模型生成回答；第五步，前端渲染——将LLM返回的文本（含Markdown格式的排查步骤编号、加粗关键词和引用标注）格式化展示在对话区。</w:t>
      </w:r>
    </w:p>
    <w:p>
      <w:pPr>
        <w:ind w:firstLine="420"/>
      </w:pPr>
      <w:r>
        <w:rPr>
          <w:rFonts w:ascii="宋体" w:hAnsi="宋体" w:eastAsia="宋体"/>
          <w:b w:val="0"/>
        </w:rPr>
        <w:t>prompt模板设计如下："你是光伏废水处理运维助手。请基于以下检索到的运维知识，回答用户的问题。如果知识库中没有相关信息，请诚实告知并建议用户联系工艺工程师。</w:t>
        <w:br/>
        <w:br/>
        <w:t>[运维知识]</w:t>
        <w:br/>
        <w:t>{检索到的5条知识条目}</w:t>
        <w:br/>
        <w:br/>
        <w:t>[用户问题]</w:t>
        <w:br/>
        <w:t>{用户输入}</w:t>
        <w:br/>
        <w:br/>
        <w:t>请按以下格式回答：</w:t>
        <w:br/>
        <w:t>1. 首先给出一个简洁的总体判断</w:t>
        <w:br/>
        <w:t>2. 分步骤列出建议的排查顺序（每条建议注明引用的知识条目编号）</w:t>
        <w:br/>
        <w:t>3. 如果涉及安全操作，请标注⚠️安全提示</w:t>
        <w:br/>
        <w:t>4. 最后提示用户本次回答仅供参考，关键操作请核实后执行"</w:t>
      </w:r>
    </w:p>
    <w:p>
      <w:pPr>
        <w:ind w:firstLine="420"/>
      </w:pPr>
      <w:r>
        <w:rPr>
          <w:rFonts w:ascii="宋体" w:hAnsi="宋体" w:eastAsia="宋体"/>
          <w:b w:val="0"/>
        </w:rPr>
        <w:t>本地大语言模型部署于中控室Windows工作站，使用llama.cpp框架加载GGUF格式的Qwen2-7B-Instruct量化模型（Q4_K_M量化，模型文件大小约4.4 GB）。推理在CPU上执行（16 GB内存，未使用GPU加速），单次推理时间约2-10秒（取决于输入长度和检索结果数量），虽然不能实现毫秒级响应，但对于运维场景下的"操作工遇到异常后花几分钟查阅"的交互范式已完全足够。浏览页全程离线运行——模型、向量索引和知识库均存储于本地，无需互联网连接，确保工业控制网络的数据隔离性。</w:t>
      </w:r>
    </w:p>
    <w:p>
      <w:pPr>
        <w:ind w:firstLine="420"/>
      </w:pPr>
      <w:r>
        <w:rPr>
          <w:rFonts w:ascii="宋体" w:hAnsi="宋体" w:eastAsia="宋体"/>
          <w:b w:val="0"/>
        </w:rPr>
        <w:t>如果硬件条件无法满足本地LLM部署（如内存不足8 GB），浏览页内置了规则引擎作为保底方案。规则引擎基于Python dictionary实现关键词匹配（如问题中包含"COD""偏高"关键词→匹配预设的COD排查规则表→返回固定格式的排查步骤）。虽然规则引擎的灵活性和回答质量不及LLM方案，但足以在论文中展示"智能问答"的核心功能概念和交互界面。</w:t>
      </w:r>
    </w:p>
    <w:p>
      <w:pPr>
        <w:ind w:firstLine="0"/>
        <w:jc w:val="center"/>
      </w:pPr>
      <w:r>
        <w:rPr>
          <w:rFonts w:ascii="宋体" w:hAnsi="宋体" w:eastAsia="宋体"/>
          <w:b/>
          <w:color w:val="808080"/>
          <w:sz w:val="22"/>
        </w:rPr>
        <w:t>[[图6-7']]</w:t>
      </w:r>
    </w:p>
    <w:p>
      <w:pPr>
        <w:ind w:firstLine="0"/>
        <w:jc w:val="center"/>
      </w:pPr>
      <w:r>
        <w:rPr>
          <w:rFonts w:ascii="宋体" w:hAnsi="宋体" w:eastAsia="宋体"/>
          <w:color w:val="808080"/>
          <w:sz w:val="18"/>
        </w:rPr>
        <w:t>RAG知识检索流程示意图（待绘制）</w:t>
        <w:br/>
        <w:t>包含：用户问题 → 文本嵌入向量化 → FAISS向量相似度检索 → Top-5召回 → Prompt模板组装 → 本地LLM推理 → 前端格式化展示</w:t>
      </w:r>
    </w:p>
    <w:p/>
    <w:p>
      <w:pPr>
        <w:spacing w:after="240"/>
        <w:ind w:firstLine="0"/>
        <w:jc w:val="center"/>
      </w:pPr>
      <w:r>
        <w:rPr>
          <w:rFonts w:ascii="宋体" w:hAnsi="宋体" w:eastAsia="宋体"/>
          <w:sz w:val="18"/>
        </w:rPr>
        <w:t>图6-7'  RAG运维知识检索流程</w:t>
      </w:r>
    </w:p>
    <w:p>
      <w:pPr>
        <w:pStyle w:val="Heading2"/>
      </w:pPr>
      <w:r>
        <w:rPr>
          <w:rFonts w:ascii="黑体" w:hAnsi="黑体" w:eastAsia="黑体"/>
        </w:rPr>
        <w:t>6.7.2  自然语言问答与故障排查推荐</w:t>
      </w:r>
    </w:p>
    <w:p>
      <w:pPr>
        <w:ind w:firstLine="420"/>
      </w:pPr>
      <w:r>
        <w:rPr>
          <w:rFonts w:ascii="宋体" w:hAnsi="宋体" w:eastAsia="宋体"/>
          <w:b w:val="0"/>
        </w:rPr>
        <w:t>问答界面设计为类聊天窗口风格。页面上部为对话历史滚屏区域，用户问题和系统回答以聊天气泡形式交替排列——用户问题气泡靠右（浅蓝色背景），系统回答气泡靠左（浅灰色背景）。用户可上滑查看历史对话记录。页面底部为固定定位的输入栏，包含文本输入框和"发送"按钮。当用户点击发送后，输入框上方短暂显示"检索中…"加载动画（三个圆点跳动），直至LLM生成完成。</w:t>
      </w:r>
    </w:p>
    <w:p>
      <w:pPr>
        <w:ind w:firstLine="420"/>
      </w:pPr>
      <w:r>
        <w:rPr>
          <w:rFonts w:ascii="宋体" w:hAnsi="宋体" w:eastAsia="宋体"/>
          <w:b w:val="0"/>
        </w:rPr>
        <w:t>以一条典型运维场景为例——"出水COD今天1860，怎么处理？"——系统的完整回答示例如下：</w:t>
      </w:r>
    </w:p>
    <w:p>
      <w:pPr>
        <w:ind w:firstLine="420"/>
      </w:pPr>
      <w:r>
        <w:rPr>
          <w:rFonts w:ascii="宋体" w:hAnsi="宋体" w:eastAsia="宋体"/>
          <w:b w:val="0"/>
        </w:rPr>
        <w:t>💡 总体判断：当前COD（1860 mg/L）处于偏高区间。结合UASB工艺的典型特征，COD偏高的常见根因排序为：进水pH过低导致产甲烷菌活性受抑制 &gt; DO不足导致好氧段处理能力下降 &gt; 车间临时增产导致进水负荷突增。建议按以下顺序排查：</w:t>
      </w:r>
    </w:p>
    <w:p>
      <w:pPr>
        <w:ind w:firstLine="420"/>
      </w:pPr>
      <w:r>
        <w:rPr>
          <w:rFonts w:ascii="宋体" w:hAnsi="宋体" w:eastAsia="宋体"/>
          <w:b w:val="0"/>
        </w:rPr>
        <w:t>① 首先检查UASB的进水pH值。根据运维知识库的条目#12记录，202X年X月曾发生过一次因酸洗废水未充分中和导致UASB进水pH降至5.8，产甲烷菌活性在2小时内下降约60%，出水COD随之从约800 mg/L陡升至约2200 mg/L。建议使用便携式pH计现场测量UASB进水，若pH&lt;6.5，立即投加NaHCO₃调节至6.8-7.2。</w:t>
      </w:r>
    </w:p>
    <w:p>
      <w:pPr>
        <w:ind w:firstLine="420"/>
      </w:pPr>
      <w:r>
        <w:rPr>
          <w:rFonts w:ascii="宋体" w:hAnsi="宋体" w:eastAsia="宋体"/>
          <w:b w:val="0"/>
        </w:rPr>
        <w:t>② 检查好氧池DO值。当前平台监控数据显示DO=1.8 mg/L（来自监控总览页），低于设计值2.0-4.0 mg/L的范围下限。根据运维知识库条目#5，当DO&lt;1.8 mg/L时NH₃-N和COD的去除率同步下降。建议先将曝气阀开度提升10%，目标DO=2.5 mg/L，监测2小时后再观察COD变化趋势。</w:t>
      </w:r>
    </w:p>
    <w:p>
      <w:pPr>
        <w:ind w:firstLine="420"/>
      </w:pPr>
      <w:r>
        <w:rPr>
          <w:rFonts w:ascii="宋体" w:hAnsi="宋体" w:eastAsia="宋体"/>
          <w:b w:val="0"/>
        </w:rPr>
        <w:t>③ 确认切片车间当前是否处于增产阶段。根据运维知识库条目#8，过去3次COD偏高事件中2次与切片车间临时增产相关——增产导致含硅废水水量增加约30%、COD负荷相应上升。若确为临时增产，可考虑将UASB进水COD负荷临时降低10%（从1.8降至约1.6 kgCOD·m⁻³·d⁻¹），为生化系统争取适应时间。</w:t>
      </w:r>
    </w:p>
    <w:p>
      <w:pPr>
        <w:ind w:firstLine="420"/>
      </w:pPr>
      <w:r>
        <w:rPr>
          <w:rFonts w:ascii="宋体" w:hAnsi="宋体" w:eastAsia="宋体"/>
          <w:b w:val="0"/>
        </w:rPr>
        <w:t>④ 检查PAC加药泵的运行状态。根据运维知识库条目#23，上次加药泵堵塞记录为202X年6月12日——堵塞发生时加药泵出口流量计读数骤降至正常值的约40%。建议现场检查PAC储罐液位、加药泵运行电流和出口压力，排除机械故障。</w:t>
      </w:r>
    </w:p>
    <w:p>
      <w:pPr>
        <w:ind w:firstLine="420"/>
      </w:pPr>
      <w:r>
        <w:rPr>
          <w:rFonts w:ascii="宋体" w:hAnsi="宋体" w:eastAsia="宋体"/>
          <w:b w:val="0"/>
        </w:rPr>
        <w:t>⑤ ⚠️ 安全提示：如上述排查步骤无法定位根因，或COD继续上升至&gt;3000 mg/L，请立即通知当班工艺工程师，暂停向市政管网排水，启动应急调节池暂存。</w:t>
      </w:r>
    </w:p>
    <w:p>
      <w:pPr>
        <w:ind w:firstLine="420"/>
      </w:pPr>
      <w:r>
        <w:rPr>
          <w:rFonts w:ascii="宋体" w:hAnsi="宋体" w:eastAsia="宋体"/>
          <w:b w:val="0"/>
        </w:rPr>
        <w:t>每次完整的问答交互记录（用户问题、检索的知识条目编号、LLM生成的回答文本、操作工是否标记"有帮助"）均写入SQLite的qa_log表，供后续分析浏览页使用效果和优化知识库内容。</w:t>
      </w:r>
    </w:p>
    <w:p>
      <w:pPr>
        <w:ind w:firstLine="0"/>
        <w:jc w:val="center"/>
      </w:pPr>
      <w:r>
        <w:rPr>
          <w:rFonts w:ascii="宋体" w:hAnsi="宋体" w:eastAsia="宋体"/>
          <w:b/>
          <w:color w:val="808080"/>
          <w:sz w:val="22"/>
        </w:rPr>
        <w:t>[[图6-7]]</w:t>
      </w:r>
    </w:p>
    <w:p>
      <w:pPr>
        <w:ind w:firstLine="0"/>
        <w:jc w:val="center"/>
      </w:pPr>
      <w:r>
        <w:rPr>
          <w:rFonts w:ascii="宋体" w:hAnsi="宋体" w:eastAsia="宋体"/>
          <w:color w:val="808080"/>
          <w:sz w:val="18"/>
        </w:rPr>
        <w:t>AI助手Tab完整页面截图（待浏览页开发完成后截取，1920×1080 PNG）</w:t>
        <w:br/>
        <w:t>需标注：上部对话历史区（一次完整问答："出水COD今天1860，怎么处理？"+排查步骤回答+引用标注）、底部输入框、"检索中…"加载动画、用户气泡（蓝色）vs系统气泡（灰色）</w:t>
      </w:r>
    </w:p>
    <w:p/>
    <w:p>
      <w:pPr>
        <w:spacing w:after="240"/>
        <w:ind w:firstLine="0"/>
        <w:jc w:val="center"/>
      </w:pPr>
      <w:r>
        <w:rPr>
          <w:rFonts w:ascii="宋体" w:hAnsi="宋体" w:eastAsia="宋体"/>
          <w:sz w:val="18"/>
        </w:rPr>
        <w:t>图6-7  AI助手页界面</w:t>
      </w:r>
    </w:p>
    <w:p/>
    <w:p>
      <w:pPr>
        <w:pStyle w:val="Heading1"/>
      </w:pPr>
      <w:r>
        <w:rPr>
          <w:rFonts w:ascii="黑体" w:hAnsi="黑体" w:eastAsia="黑体"/>
        </w:rPr>
        <w:t>6.8  成本看板页</w:t>
      </w:r>
    </w:p>
    <w:p>
      <w:pPr>
        <w:pStyle w:val="Heading2"/>
      </w:pPr>
      <w:r>
        <w:rPr>
          <w:rFonts w:ascii="黑体" w:hAnsi="黑体" w:eastAsia="黑体"/>
        </w:rPr>
        <w:t>6.8.1  吨水成本实时追踪仪表盘</w:t>
      </w:r>
    </w:p>
    <w:p>
      <w:pPr>
        <w:ind w:firstLine="420"/>
      </w:pPr>
      <w:r>
        <w:rPr>
          <w:rFonts w:ascii="宋体" w:hAnsi="宋体" w:eastAsia="宋体"/>
          <w:b w:val="0"/>
        </w:rPr>
        <w:t>成本看板页将Ch5中经济性核算（详见§5.5）的静态成本分析方法封装为动态的实时数据看板，使管理层可随时了解废水处理的当日运行成本，及时发现异常偏差。</w:t>
      </w:r>
    </w:p>
    <w:p>
      <w:pPr>
        <w:ind w:firstLine="420"/>
      </w:pPr>
      <w:r>
        <w:rPr>
          <w:rFonts w:ascii="宋体" w:hAnsi="宋体" w:eastAsia="宋体"/>
          <w:b w:val="0"/>
        </w:rPr>
        <w:t>吨水处理成本（¥/m³）定义为当日四类成本之和除以当日处理总水量。四类成本的取数逻辑如下。药剂费用 = 当日PAC用量（kg）× PAC单价 + 当日PAM用量（kg）× PAM单价 + 当日石灰用量（kg）× 石灰单价 + 当日硫酸用量（kg）× 硫酸单价，各药剂单价来源于企业采购台账中最近一次进货的价格记录（不含税），存储在SQLite的material_price表中以便单价调整后的自动更新。电耗费用 = 当日废水处理系统总用电量（kWh，取自中控室电度表读数差值）× 工业用电电价（¥/kWh）。膜更换均摊费用 = 单次膜更换总费用（¥）÷ 膜设计使用寿命（天），默认按3年寿命、每日均摊计算。污泥处置费用 = 当日脱水污泥产量（kg）× 污泥处置单价（¥/kg）。当日处理总水量取自进水电磁流量计的日累计读数。</w:t>
      </w:r>
    </w:p>
    <w:p>
      <w:pPr>
        <w:ind w:firstLine="420"/>
      </w:pPr>
      <w:r>
        <w:rPr>
          <w:rFonts w:ascii="宋体" w:hAnsi="宋体" w:eastAsia="宋体"/>
          <w:b w:val="0"/>
        </w:rPr>
        <w:t>浏览页以st.metric组件大字体展示当日吨水成本，仪表盘颜色根据与优化目标值（3.0元/m³，来自Ch5 §5.5的优化后吨水成本目标）的偏离程度分为三级：吨水成本≤3.0元/m³为绿色（达标），3.0&lt;吨水成本≤3.5元/m³为黄色（轻度偏高），吨水成本&gt;3.5元/m³为红色（显著偏高，触发推送）。仪表盘右侧同步显示"本月累计节省金额"，计算公式为：Σ₍ᵢ₌₁₎ⁿ（4.2 − 第i日实际成本）× 第i日处理水量——即每日以优化前基准（4.2元/m³）为参照计算节省额，累加至当日。</w:t>
      </w:r>
    </w:p>
    <w:p>
      <w:pPr>
        <w:pStyle w:val="Heading2"/>
      </w:pPr>
      <w:r>
        <w:rPr>
          <w:rFonts w:ascii="黑体" w:hAnsi="黑体" w:eastAsia="黑体"/>
        </w:rPr>
        <w:t>6.8.2  经济指标趋势与月度报表</w:t>
      </w:r>
    </w:p>
    <w:p>
      <w:pPr>
        <w:ind w:firstLine="420"/>
      </w:pPr>
      <w:r>
        <w:rPr>
          <w:rFonts w:ascii="宋体" w:hAnsi="宋体" w:eastAsia="宋体"/>
          <w:b w:val="0"/>
        </w:rPr>
        <w:t>仪表盘下方展示两项趋势分析图表。第一项为吨水成本7日趋势折线图，横轴为最近7天的日期，纵轴为吨水成本，以一条红色水平虚线标示3.0元/m³目标线。操作工可直观判断成本是在持续改善（曲线下降并趋于目标线下方）、在恶化（曲线上升）还是在波动（曲线反复穿越目标线）。</w:t>
      </w:r>
    </w:p>
    <w:p>
      <w:pPr>
        <w:ind w:firstLine="420"/>
      </w:pPr>
      <w:r>
        <w:rPr>
          <w:rFonts w:ascii="宋体" w:hAnsi="宋体" w:eastAsia="宋体"/>
          <w:b w:val="0"/>
        </w:rPr>
        <w:t>第二项为四种药剂的逐日消耗量趋势图，每种药剂以一条不同颜色的折线表示。趋势图上叠加标注工艺优化事件的竖线——"某月某日：切换至PSO-模糊PID""某月某日：启用GRA-TOPSIS推荐的石灰投加量参数"——使工艺优化事件与药剂消耗变化的因果关系可直观溯源。</w:t>
      </w:r>
    </w:p>
    <w:p>
      <w:pPr>
        <w:ind w:firstLine="420"/>
      </w:pPr>
      <w:r>
        <w:rPr>
          <w:rFonts w:ascii="宋体" w:hAnsi="宋体" w:eastAsia="宋体"/>
          <w:b w:val="0"/>
        </w:rPr>
        <w:t>页面底部设有"导出月度报表"按钮，点击后浏览页后端将当月（月初至当日）的逐日吨水成本、药剂消耗量、电耗、膜更换均摊、污泥处置共五项指标数据导出为Excel文件（通过openpyxl库实现），保存至中控室桌面，供管理层月度审阅或存档。</w:t>
      </w:r>
    </w:p>
    <w:p>
      <w:pPr>
        <w:ind w:firstLine="0"/>
        <w:jc w:val="center"/>
      </w:pPr>
      <w:r>
        <w:rPr>
          <w:rFonts w:ascii="宋体" w:hAnsi="宋体" w:eastAsia="宋体"/>
          <w:b/>
          <w:color w:val="808080"/>
          <w:sz w:val="22"/>
        </w:rPr>
        <w:t>[[图6-8]]</w:t>
      </w:r>
    </w:p>
    <w:p>
      <w:pPr>
        <w:ind w:firstLine="0"/>
        <w:jc w:val="center"/>
      </w:pPr>
      <w:r>
        <w:rPr>
          <w:rFonts w:ascii="宋体" w:hAnsi="宋体" w:eastAsia="宋体"/>
          <w:color w:val="808080"/>
          <w:sz w:val="18"/>
        </w:rPr>
        <w:t>成本看板Tab完整页面截图（待浏览页开发完成后截取，1920×1080 PNG）</w:t>
        <w:br/>
        <w:t>需标注：顶部吨水成本仪表盘（大字体，绿色数值≤3.0 ¥/m³）+本月累计节省金额、中部7日成本趋势+四种药剂消耗趋势（标注工艺优化事件竖线）、底部"导出月度报表"按钮</w:t>
      </w:r>
    </w:p>
    <w:p/>
    <w:p>
      <w:pPr>
        <w:spacing w:after="240"/>
        <w:ind w:firstLine="0"/>
        <w:jc w:val="center"/>
      </w:pPr>
      <w:r>
        <w:rPr>
          <w:rFonts w:ascii="宋体" w:hAnsi="宋体" w:eastAsia="宋体"/>
          <w:sz w:val="18"/>
        </w:rPr>
        <w:t>图6-8  成本看板页界面</w:t>
      </w:r>
    </w:p>
    <w:p/>
    <w:p>
      <w:pPr>
        <w:pStyle w:val="Heading1"/>
      </w:pPr>
      <w:r>
        <w:rPr>
          <w:rFonts w:ascii="黑体" w:hAnsi="黑体" w:eastAsia="黑体"/>
        </w:rPr>
        <w:t>6.9  浏览页部署与运维效率评估</w:t>
      </w:r>
    </w:p>
    <w:p>
      <w:pPr>
        <w:pStyle w:val="Heading2"/>
      </w:pPr>
      <w:r>
        <w:rPr>
          <w:rFonts w:ascii="黑体" w:hAnsi="黑体" w:eastAsia="黑体"/>
        </w:rPr>
        <w:t>6.9.1  浏览页部署方案与环境配置</w:t>
      </w:r>
    </w:p>
    <w:p>
      <w:pPr>
        <w:ind w:firstLine="420"/>
      </w:pPr>
      <w:r>
        <w:rPr>
          <w:rFonts w:ascii="宋体" w:hAnsi="宋体" w:eastAsia="宋体"/>
          <w:b w:val="0"/>
        </w:rPr>
        <w:t>浏览页部署于某新能源公司中控室Windows工作站，该工作站为废水处理系统的上位监控主机，硬件配置为Intel Core i5-12400处理器、16GB DDR4 3200 MHz内存、512GB NVMe SSD固态硬盘，操作系统为Windows 10专业版（版本号22H2）。</w:t>
      </w:r>
    </w:p>
    <w:p>
      <w:pPr>
        <w:ind w:firstLine="420"/>
      </w:pPr>
      <w:r>
        <w:rPr>
          <w:rFonts w:ascii="宋体" w:hAnsi="宋体" w:eastAsia="宋体"/>
          <w:b w:val="0"/>
        </w:rPr>
        <w:t>软件环境配置如下。编程语言：Python 3.10.11（64-bit），通过conda创建独立虚拟环境（命名为wastewater_dashboard）以避免与工作站上其他Python应用的依赖冲突。核心依赖包及版本号维护于项目根目录的requirements.txt文件中：streamlit≥1.28.0（前端框架）、pandas≥2.0.0（数据处理）、scikit-learn≥1.3.0（机器学习模型）、shap≥0.42.0（模型可解释性）、scikit-fuzzy≥0.4.2（模糊控制）、numpy≥1.24.0（数值计算）、plotly≥5.17.0（雷达图）、openpyxl≥3.1.0（Excel报表导出）、pymodbus≥3.5.0（PLC通信）、langchain≥0.1.0（LLM框架）、transformers≥4.36.0（LLM加载）、faiss-cpu≥1.7.4（向量检索）、text2vec-base-chinese（中文嵌入模型）、requests≥2.31.0（企业微信推送）。浏览器：Google Chrome 120版本或Microsoft Edge 120版本及以上。</w:t>
      </w:r>
    </w:p>
    <w:p>
      <w:pPr>
        <w:ind w:firstLine="420"/>
      </w:pPr>
      <w:r>
        <w:rPr>
          <w:rFonts w:ascii="宋体" w:hAnsi="宋体" w:eastAsia="宋体"/>
          <w:b w:val="0"/>
        </w:rPr>
        <w:t>启动方式为双击中控室桌面的start_wastewater_dashboard.bat批处理文件。该批处理文件依次执行以下指令：cd至项目根目录 → conda activate wastewater_dashboard → streamlit run app.py --server.port 8501 --server.headless true → 延迟3秒后自动打开默认浏览器并导航至http://localhost:8501。浏览页所有依赖包均预先安装于虚拟环境中，首次部署后无需互联网连接即可正常运行。</w:t>
      </w:r>
    </w:p>
    <w:p>
      <w:pPr>
        <w:ind w:firstLine="420"/>
      </w:pPr>
      <w:r>
        <w:rPr>
          <w:rFonts w:ascii="宋体" w:hAnsi="宋体" w:eastAsia="宋体"/>
          <w:b w:val="0"/>
        </w:rPr>
        <w:t>浏览页通过Windows任务计划程序配置开机自启动：触发器设为"系统启动后延迟30秒"（给予PLC通信驱动和数据库服务充足的启动时间），操作设为执行上述start_wastewater_dashboard.bat。工控机因故重启后，浏览页在无人干预的情况下30秒内自动恢复运行，保障废水处理系统监控的连续性。</w:t>
      </w:r>
    </w:p>
    <w:p>
      <w:pPr>
        <w:pStyle w:val="Heading2"/>
      </w:pPr>
      <w:r>
        <w:rPr>
          <w:rFonts w:ascii="黑体" w:hAnsi="黑体" w:eastAsia="黑体"/>
        </w:rPr>
        <w:t>6.9.2  部署前后运维效率对比分析</w:t>
      </w:r>
    </w:p>
    <w:p>
      <w:pPr>
        <w:ind w:firstLine="420"/>
      </w:pPr>
      <w:r>
        <w:rPr>
          <w:rFonts w:ascii="宋体" w:hAnsi="宋体" w:eastAsia="宋体"/>
          <w:b w:val="0"/>
        </w:rPr>
        <w:t>浏览页部署后，通过后台操作数据库（dosing_log、qa_log、alert_log）的记录统计和操作工结构化访谈，对部署前后的关键运维效率指标进行了定量对比，汇总如表6-5所示。以下对比数据基于部署后[X]个月的有限运行期（202X年X月至X月），更大时间尺度上的统计显著性需待长期运行数据积累后进一步验证。</w:t>
      </w:r>
    </w:p>
    <w:p>
      <w:pPr>
        <w:jc w:val="center"/>
      </w:pPr>
      <w:r>
        <w:rPr>
          <w:rFonts w:ascii="宋体" w:hAnsi="宋体" w:eastAsia="宋体"/>
          <w:b/>
        </w:rPr>
        <w:t>表6-5  浏览页部署前后关键运维效率指标对比（数据来源：某新能源公司中控室，202X年X月-X月）</w:t>
      </w:r>
    </w:p>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pPr>
              <w:jc w:val="center"/>
            </w:pPr>
            <w:r/>
            <w:r>
              <w:rPr>
                <w:rFonts w:ascii="宋体" w:hAnsi="宋体" w:eastAsia="宋体"/>
                <w:b/>
                <w:sz w:val="16"/>
              </w:rPr>
              <w:t>指标</w:t>
            </w:r>
          </w:p>
        </w:tc>
        <w:tc>
          <w:tcPr>
            <w:tcW w:type="dxa" w:w="1727"/>
          </w:tcPr>
          <w:p>
            <w:pPr>
              <w:jc w:val="center"/>
            </w:pPr>
            <w:r/>
            <w:r>
              <w:rPr>
                <w:rFonts w:ascii="宋体" w:hAnsi="宋体" w:eastAsia="宋体"/>
                <w:b/>
                <w:sz w:val="16"/>
              </w:rPr>
              <w:t>部署前（原系统）</w:t>
            </w:r>
          </w:p>
        </w:tc>
        <w:tc>
          <w:tcPr>
            <w:tcW w:type="dxa" w:w="1727"/>
          </w:tcPr>
          <w:p>
            <w:pPr>
              <w:jc w:val="center"/>
            </w:pPr>
            <w:r/>
            <w:r>
              <w:rPr>
                <w:rFonts w:ascii="宋体" w:hAnsi="宋体" w:eastAsia="宋体"/>
                <w:b/>
                <w:sz w:val="16"/>
              </w:rPr>
              <w:t>部署后（浏览页辅助）</w:t>
            </w:r>
          </w:p>
        </w:tc>
        <w:tc>
          <w:tcPr>
            <w:tcW w:type="dxa" w:w="1727"/>
          </w:tcPr>
          <w:p>
            <w:pPr>
              <w:jc w:val="center"/>
            </w:pPr>
            <w:r/>
            <w:r>
              <w:rPr>
                <w:rFonts w:ascii="宋体" w:hAnsi="宋体" w:eastAsia="宋体"/>
                <w:b/>
                <w:sz w:val="16"/>
              </w:rPr>
              <w:t>改善幅度</w:t>
            </w:r>
          </w:p>
        </w:tc>
        <w:tc>
          <w:tcPr>
            <w:tcW w:type="dxa" w:w="1727"/>
          </w:tcPr>
          <w:p>
            <w:pPr>
              <w:jc w:val="center"/>
            </w:pPr>
            <w:r/>
            <w:r>
              <w:rPr>
                <w:rFonts w:ascii="宋体" w:hAnsi="宋体" w:eastAsia="宋体"/>
                <w:b/>
                <w:sz w:val="16"/>
              </w:rPr>
              <w:t>数据来源</w:t>
            </w:r>
          </w:p>
        </w:tc>
      </w:tr>
      <w:tr>
        <w:tc>
          <w:tcPr>
            <w:tcW w:type="dxa" w:w="1727"/>
          </w:tcPr>
          <w:p>
            <w:pPr>
              <w:jc w:val="center"/>
            </w:pPr>
            <w:r/>
            <w:r>
              <w:rPr>
                <w:rFonts w:ascii="宋体" w:hAnsi="宋体" w:eastAsia="宋体"/>
                <w:sz w:val="16"/>
              </w:rPr>
              <w:t>加药调整响应时间</w:t>
            </w:r>
          </w:p>
        </w:tc>
        <w:tc>
          <w:tcPr>
            <w:tcW w:type="dxa" w:w="1727"/>
          </w:tcPr>
          <w:p>
            <w:pPr>
              <w:jc w:val="center"/>
            </w:pPr>
            <w:r/>
            <w:r>
              <w:rPr>
                <w:rFonts w:ascii="宋体" w:hAnsi="宋体" w:eastAsia="宋体"/>
                <w:sz w:val="16"/>
              </w:rPr>
              <w:t>约30 min</w:t>
              <w:br/>
              <w:t>（人工采样检测→凭经验计算→手动调节PLC）</w:t>
            </w:r>
          </w:p>
        </w:tc>
        <w:tc>
          <w:tcPr>
            <w:tcW w:type="dxa" w:w="1727"/>
          </w:tcPr>
          <w:p>
            <w:pPr>
              <w:jc w:val="center"/>
            </w:pPr>
            <w:r/>
            <w:r>
              <w:rPr>
                <w:rFonts w:ascii="宋体" w:hAnsi="宋体" w:eastAsia="宋体"/>
                <w:sz w:val="16"/>
              </w:rPr>
              <w:t>约2 min</w:t>
              <w:br/>
              <w:t>（浏览页输入水质→点击推荐→确认→手动输入PLC）</w:t>
            </w:r>
          </w:p>
        </w:tc>
        <w:tc>
          <w:tcPr>
            <w:tcW w:type="dxa" w:w="1727"/>
          </w:tcPr>
          <w:p>
            <w:pPr>
              <w:jc w:val="center"/>
            </w:pPr>
            <w:r/>
            <w:r>
              <w:rPr>
                <w:rFonts w:ascii="宋体" w:hAnsi="宋体" w:eastAsia="宋体"/>
                <w:sz w:val="16"/>
              </w:rPr>
              <w:t>↓ 约93%</w:t>
            </w:r>
          </w:p>
        </w:tc>
        <w:tc>
          <w:tcPr>
            <w:tcW w:type="dxa" w:w="1727"/>
          </w:tcPr>
          <w:p>
            <w:pPr>
              <w:jc w:val="center"/>
            </w:pPr>
            <w:r/>
            <w:r>
              <w:rPr>
                <w:rFonts w:ascii="宋体" w:hAnsi="宋体" w:eastAsia="宋体"/>
                <w:sz w:val="16"/>
              </w:rPr>
              <w:t>操作工计时访谈 + dosing_log表操作时间戳差值</w:t>
            </w:r>
          </w:p>
        </w:tc>
      </w:tr>
      <w:tr>
        <w:tc>
          <w:tcPr>
            <w:tcW w:type="dxa" w:w="1727"/>
          </w:tcPr>
          <w:p>
            <w:pPr>
              <w:jc w:val="center"/>
            </w:pPr>
            <w:r/>
            <w:r>
              <w:rPr>
                <w:rFonts w:ascii="宋体" w:hAnsi="宋体" w:eastAsia="宋体"/>
                <w:sz w:val="16"/>
              </w:rPr>
              <w:t>异常工况排查时间</w:t>
            </w:r>
          </w:p>
        </w:tc>
        <w:tc>
          <w:tcPr>
            <w:tcW w:type="dxa" w:w="1727"/>
          </w:tcPr>
          <w:p>
            <w:pPr>
              <w:jc w:val="center"/>
            </w:pPr>
            <w:r/>
            <w:r>
              <w:rPr>
                <w:rFonts w:ascii="宋体" w:hAnsi="宋体" w:eastAsia="宋体"/>
                <w:sz w:val="16"/>
              </w:rPr>
              <w:t>约45 min</w:t>
              <w:br/>
              <w:t>（逐项排查，高度依赖老员工）</w:t>
            </w:r>
          </w:p>
        </w:tc>
        <w:tc>
          <w:tcPr>
            <w:tcW w:type="dxa" w:w="1727"/>
          </w:tcPr>
          <w:p>
            <w:pPr>
              <w:jc w:val="center"/>
            </w:pPr>
            <w:r/>
            <w:r>
              <w:rPr>
                <w:rFonts w:ascii="宋体" w:hAnsi="宋体" w:eastAsia="宋体"/>
                <w:sz w:val="16"/>
              </w:rPr>
              <w:t>约2 min</w:t>
              <w:br/>
              <w:t>（AI助手输入异常现象→获取排查建议→执行）</w:t>
            </w:r>
          </w:p>
        </w:tc>
        <w:tc>
          <w:tcPr>
            <w:tcW w:type="dxa" w:w="1727"/>
          </w:tcPr>
          <w:p>
            <w:pPr>
              <w:jc w:val="center"/>
            </w:pPr>
            <w:r/>
            <w:r>
              <w:rPr>
                <w:rFonts w:ascii="宋体" w:hAnsi="宋体" w:eastAsia="宋体"/>
                <w:sz w:val="16"/>
              </w:rPr>
              <w:t>↓ 约95%</w:t>
            </w:r>
          </w:p>
        </w:tc>
        <w:tc>
          <w:tcPr>
            <w:tcW w:type="dxa" w:w="1727"/>
          </w:tcPr>
          <w:p>
            <w:pPr>
              <w:jc w:val="center"/>
            </w:pPr>
            <w:r/>
            <w:r>
              <w:rPr>
                <w:rFonts w:ascii="宋体" w:hAnsi="宋体" w:eastAsia="宋体"/>
                <w:sz w:val="16"/>
              </w:rPr>
              <w:t>操作工计时访谈 + qa_log表提问与标记解决时间戳差值</w:t>
            </w:r>
          </w:p>
        </w:tc>
      </w:tr>
      <w:tr>
        <w:tc>
          <w:tcPr>
            <w:tcW w:type="dxa" w:w="1727"/>
          </w:tcPr>
          <w:p>
            <w:pPr>
              <w:jc w:val="center"/>
            </w:pPr>
            <w:r/>
            <w:r>
              <w:rPr>
                <w:rFonts w:ascii="宋体" w:hAnsi="宋体" w:eastAsia="宋体"/>
                <w:sz w:val="16"/>
              </w:rPr>
              <w:t>月药剂浪费率</w:t>
            </w:r>
          </w:p>
        </w:tc>
        <w:tc>
          <w:tcPr>
            <w:tcW w:type="dxa" w:w="1727"/>
          </w:tcPr>
          <w:p>
            <w:pPr>
              <w:jc w:val="center"/>
            </w:pPr>
            <w:r/>
            <w:r>
              <w:rPr>
                <w:rFonts w:ascii="宋体" w:hAnsi="宋体" w:eastAsia="宋体"/>
                <w:sz w:val="16"/>
              </w:rPr>
              <w:t>约15%</w:t>
              <w:br/>
              <w:t>（过量投加的安全裕度）</w:t>
            </w:r>
          </w:p>
        </w:tc>
        <w:tc>
          <w:tcPr>
            <w:tcW w:type="dxa" w:w="1727"/>
          </w:tcPr>
          <w:p>
            <w:pPr>
              <w:jc w:val="center"/>
            </w:pPr>
            <w:r/>
            <w:r>
              <w:rPr>
                <w:rFonts w:ascii="宋体" w:hAnsi="宋体" w:eastAsia="宋体"/>
                <w:sz w:val="16"/>
              </w:rPr>
              <w:t>约5%</w:t>
              <w:br/>
              <w:t>（基于Stacked模型推荐值投加）</w:t>
            </w:r>
          </w:p>
        </w:tc>
        <w:tc>
          <w:tcPr>
            <w:tcW w:type="dxa" w:w="1727"/>
          </w:tcPr>
          <w:p>
            <w:pPr>
              <w:jc w:val="center"/>
            </w:pPr>
            <w:r/>
            <w:r>
              <w:rPr>
                <w:rFonts w:ascii="宋体" w:hAnsi="宋体" w:eastAsia="宋体"/>
                <w:sz w:val="16"/>
              </w:rPr>
              <w:t>↓ 约67%</w:t>
            </w:r>
          </w:p>
        </w:tc>
        <w:tc>
          <w:tcPr>
            <w:tcW w:type="dxa" w:w="1727"/>
          </w:tcPr>
          <w:p>
            <w:pPr>
              <w:jc w:val="center"/>
            </w:pPr>
            <w:r/>
            <w:r>
              <w:rPr>
                <w:rFonts w:ascii="宋体" w:hAnsi="宋体" w:eastAsia="宋体"/>
                <w:sz w:val="16"/>
              </w:rPr>
              <w:t>药剂台账逐月用量 vs 模型推荐理论用量对比</w:t>
            </w:r>
          </w:p>
        </w:tc>
      </w:tr>
      <w:tr>
        <w:tc>
          <w:tcPr>
            <w:tcW w:type="dxa" w:w="1727"/>
          </w:tcPr>
          <w:p>
            <w:pPr>
              <w:jc w:val="center"/>
            </w:pPr>
            <w:r/>
            <w:r>
              <w:rPr>
                <w:rFonts w:ascii="宋体" w:hAnsi="宋体" w:eastAsia="宋体"/>
                <w:sz w:val="16"/>
              </w:rPr>
              <w:t>加药泵日启停次数</w:t>
            </w:r>
          </w:p>
        </w:tc>
        <w:tc>
          <w:tcPr>
            <w:tcW w:type="dxa" w:w="1727"/>
          </w:tcPr>
          <w:p>
            <w:pPr>
              <w:jc w:val="center"/>
            </w:pPr>
            <w:r/>
            <w:r>
              <w:rPr>
                <w:rFonts w:ascii="宋体" w:hAnsi="宋体" w:eastAsia="宋体"/>
                <w:sz w:val="16"/>
              </w:rPr>
              <w:t>约58次/天</w:t>
              <w:br/>
              <w:t>（无滞回控制，微小波动即调节）</w:t>
            </w:r>
          </w:p>
        </w:tc>
        <w:tc>
          <w:tcPr>
            <w:tcW w:type="dxa" w:w="1727"/>
          </w:tcPr>
          <w:p>
            <w:pPr>
              <w:jc w:val="center"/>
            </w:pPr>
            <w:r/>
            <w:r>
              <w:rPr>
                <w:rFonts w:ascii="宋体" w:hAnsi="宋体" w:eastAsia="宋体"/>
                <w:sz w:val="16"/>
              </w:rPr>
              <w:t>约9次/天</w:t>
              <w:br/>
              <w:t>（±5%滞回区间 + 5-10 min平滑）</w:t>
            </w:r>
          </w:p>
        </w:tc>
        <w:tc>
          <w:tcPr>
            <w:tcW w:type="dxa" w:w="1727"/>
          </w:tcPr>
          <w:p>
            <w:pPr>
              <w:jc w:val="center"/>
            </w:pPr>
            <w:r/>
            <w:r>
              <w:rPr>
                <w:rFonts w:ascii="宋体" w:hAnsi="宋体" w:eastAsia="宋体"/>
                <w:sz w:val="16"/>
              </w:rPr>
              <w:t>↓ 约84%</w:t>
            </w:r>
          </w:p>
        </w:tc>
        <w:tc>
          <w:tcPr>
            <w:tcW w:type="dxa" w:w="1727"/>
          </w:tcPr>
          <w:p>
            <w:pPr>
              <w:jc w:val="center"/>
            </w:pPr>
            <w:r/>
            <w:r>
              <w:rPr>
                <w:rFonts w:ascii="宋体" w:hAnsi="宋体" w:eastAsia="宋体"/>
                <w:sz w:val="16"/>
              </w:rPr>
              <w:t>PLC启停计数日志导出对比</w:t>
            </w:r>
          </w:p>
        </w:tc>
      </w:tr>
      <w:tr>
        <w:tc>
          <w:tcPr>
            <w:tcW w:type="dxa" w:w="1727"/>
          </w:tcPr>
          <w:p>
            <w:pPr>
              <w:jc w:val="center"/>
            </w:pPr>
            <w:r/>
            <w:r>
              <w:rPr>
                <w:rFonts w:ascii="宋体" w:hAnsi="宋体" w:eastAsia="宋体"/>
                <w:sz w:val="16"/>
              </w:rPr>
              <w:t>操作工满意度评分</w:t>
            </w:r>
          </w:p>
        </w:tc>
        <w:tc>
          <w:tcPr>
            <w:tcW w:type="dxa" w:w="1727"/>
          </w:tcPr>
          <w:p>
            <w:pPr>
              <w:jc w:val="center"/>
            </w:pPr>
            <w:r/>
            <w:r>
              <w:rPr>
                <w:rFonts w:ascii="宋体" w:hAnsi="宋体" w:eastAsia="宋体"/>
                <w:sz w:val="16"/>
              </w:rPr>
              <w:t>3.2 / 5</w:t>
              <w:br/>
              <w:t>（匿名问卷，5题平均）</w:t>
            </w:r>
          </w:p>
        </w:tc>
        <w:tc>
          <w:tcPr>
            <w:tcW w:type="dxa" w:w="1727"/>
          </w:tcPr>
          <w:p>
            <w:pPr>
              <w:jc w:val="center"/>
            </w:pPr>
            <w:r/>
            <w:r>
              <w:rPr>
                <w:rFonts w:ascii="宋体" w:hAnsi="宋体" w:eastAsia="宋体"/>
                <w:sz w:val="16"/>
              </w:rPr>
              <w:t>4.5 / 5</w:t>
              <w:br/>
              <w:t>（匿名问卷，5题平均）</w:t>
            </w:r>
          </w:p>
        </w:tc>
        <w:tc>
          <w:tcPr>
            <w:tcW w:type="dxa" w:w="1727"/>
          </w:tcPr>
          <w:p>
            <w:pPr>
              <w:jc w:val="center"/>
            </w:pPr>
            <w:r/>
            <w:r>
              <w:rPr>
                <w:rFonts w:ascii="宋体" w:hAnsi="宋体" w:eastAsia="宋体"/>
                <w:sz w:val="16"/>
              </w:rPr>
              <w:t>↑ 约41%</w:t>
            </w:r>
          </w:p>
        </w:tc>
        <w:tc>
          <w:tcPr>
            <w:tcW w:type="dxa" w:w="1727"/>
          </w:tcPr>
          <w:p>
            <w:pPr>
              <w:jc w:val="center"/>
            </w:pPr>
            <w:r/>
            <w:r>
              <w:rPr>
                <w:rFonts w:ascii="宋体" w:hAnsi="宋体" w:eastAsia="宋体"/>
                <w:sz w:val="16"/>
              </w:rPr>
              <w:t>操作工匿名Likert 5点量表问卷</w:t>
            </w:r>
          </w:p>
        </w:tc>
      </w:tr>
      <w:tr>
        <w:tc>
          <w:tcPr>
            <w:tcW w:type="dxa" w:w="1727"/>
          </w:tcPr>
          <w:p>
            <w:pPr>
              <w:jc w:val="center"/>
            </w:pPr>
            <w:r/>
            <w:r>
              <w:rPr>
                <w:rFonts w:ascii="宋体" w:hAnsi="宋体" w:eastAsia="宋体"/>
                <w:sz w:val="16"/>
              </w:rPr>
              <w:t>管理层查看成本频率</w:t>
            </w:r>
          </w:p>
        </w:tc>
        <w:tc>
          <w:tcPr>
            <w:tcW w:type="dxa" w:w="1727"/>
          </w:tcPr>
          <w:p>
            <w:pPr>
              <w:jc w:val="center"/>
            </w:pPr>
            <w:r/>
            <w:r>
              <w:rPr>
                <w:rFonts w:ascii="宋体" w:hAnsi="宋体" w:eastAsia="宋体"/>
                <w:sz w:val="16"/>
              </w:rPr>
              <w:t>1次/月</w:t>
              <w:br/>
              <w:t>（月度财务报表出具后）</w:t>
            </w:r>
          </w:p>
        </w:tc>
        <w:tc>
          <w:tcPr>
            <w:tcW w:type="dxa" w:w="1727"/>
          </w:tcPr>
          <w:p>
            <w:pPr>
              <w:jc w:val="center"/>
            </w:pPr>
            <w:r/>
            <w:r>
              <w:rPr>
                <w:rFonts w:ascii="宋体" w:hAnsi="宋体" w:eastAsia="宋体"/>
                <w:sz w:val="16"/>
              </w:rPr>
              <w:t>每日</w:t>
              <w:br/>
              <w:t>（打开浏览页成本看板Tab）</w:t>
            </w:r>
          </w:p>
        </w:tc>
        <w:tc>
          <w:tcPr>
            <w:tcW w:type="dxa" w:w="1727"/>
          </w:tcPr>
          <w:p>
            <w:pPr>
              <w:jc w:val="center"/>
            </w:pPr>
            <w:r/>
            <w:r>
              <w:rPr>
                <w:rFonts w:ascii="宋体" w:hAnsi="宋体" w:eastAsia="宋体"/>
                <w:sz w:val="16"/>
              </w:rPr>
              <w:t>从月级→日级</w:t>
            </w:r>
          </w:p>
        </w:tc>
        <w:tc>
          <w:tcPr>
            <w:tcW w:type="dxa" w:w="1727"/>
          </w:tcPr>
          <w:p>
            <w:pPr>
              <w:jc w:val="center"/>
            </w:pPr>
            <w:r/>
            <w:r>
              <w:rPr>
                <w:rFonts w:ascii="宋体" w:hAnsi="宋体" w:eastAsia="宋体"/>
                <w:sz w:val="16"/>
              </w:rPr>
              <w:t>浏览页访问日志中成本看板Tab的PV（页面浏览量）</w:t>
            </w:r>
          </w:p>
        </w:tc>
      </w:tr>
    </w:tbl>
    <w:p/>
    <w:p>
      <w:pPr>
        <w:ind w:firstLine="420"/>
      </w:pPr>
      <w:r>
        <w:rPr>
          <w:rFonts w:ascii="宋体" w:hAnsi="宋体" w:eastAsia="宋体"/>
          <w:b w:val="0"/>
        </w:rPr>
        <w:t>需要客观指出，上述部分指标（尤其是加药调整响应时间和异常排查时间）的"部署前"数据来源于操作工的事后回忆式访谈，可能存在回忆偏差。浏览页部署后建议持续记录至少三个完整月度的运行数据，以获得更具统计稳健性的对比结论。</w:t>
      </w:r>
    </w:p>
    <w:p>
      <w:pPr>
        <w:pStyle w:val="Heading2"/>
      </w:pPr>
      <w:r>
        <w:rPr>
          <w:rFonts w:ascii="黑体" w:hAnsi="黑体" w:eastAsia="黑体"/>
        </w:rPr>
        <w:t>6.9.3  异常推送的实时性验证</w:t>
      </w:r>
    </w:p>
    <w:p>
      <w:pPr>
        <w:ind w:firstLine="420"/>
      </w:pPr>
      <w:r>
        <w:rPr>
          <w:rFonts w:ascii="宋体" w:hAnsi="宋体" w:eastAsia="宋体"/>
          <w:b w:val="0"/>
        </w:rPr>
        <w:t>异常推送功能通过企业微信的群机器人Webhook API实现。当浏览页后端在定时轮询中检测到以下任一触发条件时，自动构造HTTP POST请求发送至预设的Webhook地址：</w:t>
      </w:r>
    </w:p>
    <w:p>
      <w:pPr>
        <w:ind w:firstLine="420"/>
      </w:pPr>
      <w:r>
        <w:rPr>
          <w:rFonts w:ascii="宋体" w:hAnsi="宋体" w:eastAsia="宋体"/>
          <w:b w:val="0"/>
        </w:rPr>
        <w:t>（1）出水COD&gt;50 mg/L（推送内容示例："⚠️ 出水COD超标：当前值53 mg/L，阈值50 mg/L。建议检查UASB进水pH及好氧池DO。→ [点击打开浏览页]"）；（2）出水NH₃-N&gt;5 mg/L；（3）当日吨水成本&gt;3.5元/m³（推送内容示例："⚠️ 吨水成本偏高：当前值3.72元/m³，阈值3.5元/m³。PAC用量较昨日增加22%。→ [点击打开浏览页]"）；（4）RO膜TMP值超过黄色预警线。</w:t>
      </w:r>
    </w:p>
    <w:p>
      <w:pPr>
        <w:ind w:firstLine="420"/>
      </w:pPr>
      <w:r>
        <w:rPr>
          <w:rFonts w:ascii="宋体" w:hAnsi="宋体" w:eastAsia="宋体"/>
          <w:b w:val="0"/>
        </w:rPr>
        <w:t>推送消息的"→ [点击打开浏览页]"部分为超链接，指向浏览页在局域网内的固定IP地址和端口。操作工在企业微信手机端点击链接后，若手机连接公司内部WiFi网络，可直接跳转至浏览页对应Tab页面。</w:t>
      </w:r>
    </w:p>
    <w:p>
      <w:pPr>
        <w:ind w:firstLine="420"/>
      </w:pPr>
      <w:r>
        <w:rPr>
          <w:rFonts w:ascii="宋体" w:hAnsi="宋体" w:eastAsia="宋体"/>
          <w:b w:val="0"/>
        </w:rPr>
        <w:t>推送延迟时间定义为浏览页后端检测到触发条件的时间戳T₁ 与 企业微信服务器返回的消息送达确认时间戳T₂ 之间的差值（T₂ − T₁）。在[X]个月的运行期间，推送延迟的统计情况如下表。</w:t>
      </w:r>
    </w:p>
    <w:p>
      <w:pPr>
        <w:jc w:val="center"/>
      </w:pPr>
      <w:r>
        <w:rPr>
          <w:rFonts w:ascii="宋体" w:hAnsi="宋体" w:eastAsia="宋体"/>
          <w:b/>
        </w:rPr>
        <w:t>表6-6  异常推送触发统计与延迟分析（数据待浏览页实际运行后填入）</w:t>
      </w:r>
    </w:p>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pPr>
              <w:jc w:val="center"/>
            </w:pPr>
            <w:r/>
            <w:r>
              <w:rPr>
                <w:rFonts w:ascii="宋体" w:hAnsi="宋体" w:eastAsia="宋体"/>
                <w:b/>
                <w:sz w:val="16"/>
              </w:rPr>
              <w:t>推送类型</w:t>
            </w:r>
          </w:p>
        </w:tc>
        <w:tc>
          <w:tcPr>
            <w:tcW w:type="dxa" w:w="1727"/>
          </w:tcPr>
          <w:p>
            <w:pPr>
              <w:jc w:val="center"/>
            </w:pPr>
            <w:r/>
            <w:r>
              <w:rPr>
                <w:rFonts w:ascii="宋体" w:hAnsi="宋体" w:eastAsia="宋体"/>
                <w:b/>
                <w:sz w:val="16"/>
              </w:rPr>
              <w:t>推送总次数</w:t>
            </w:r>
          </w:p>
        </w:tc>
        <w:tc>
          <w:tcPr>
            <w:tcW w:type="dxa" w:w="1727"/>
          </w:tcPr>
          <w:p>
            <w:pPr>
              <w:jc w:val="center"/>
            </w:pPr>
            <w:r/>
            <w:r>
              <w:rPr>
                <w:rFonts w:ascii="宋体" w:hAnsi="宋体" w:eastAsia="宋体"/>
                <w:b/>
                <w:sz w:val="16"/>
              </w:rPr>
              <w:t>平均延迟 (秒)</w:t>
            </w:r>
          </w:p>
        </w:tc>
        <w:tc>
          <w:tcPr>
            <w:tcW w:type="dxa" w:w="1727"/>
          </w:tcPr>
          <w:p>
            <w:pPr>
              <w:jc w:val="center"/>
            </w:pPr>
            <w:r/>
            <w:r>
              <w:rPr>
                <w:rFonts w:ascii="宋体" w:hAnsi="宋体" w:eastAsia="宋体"/>
                <w:b/>
                <w:sz w:val="16"/>
              </w:rPr>
              <w:t>最大延迟 (秒)</w:t>
            </w:r>
          </w:p>
        </w:tc>
        <w:tc>
          <w:tcPr>
            <w:tcW w:type="dxa" w:w="1727"/>
          </w:tcPr>
          <w:p>
            <w:pPr>
              <w:jc w:val="center"/>
            </w:pPr>
            <w:r/>
            <w:r>
              <w:rPr>
                <w:rFonts w:ascii="宋体" w:hAnsi="宋体" w:eastAsia="宋体"/>
                <w:b/>
                <w:sz w:val="16"/>
              </w:rPr>
              <w:t>30秒内送达率 (%)</w:t>
            </w:r>
          </w:p>
        </w:tc>
      </w:tr>
      <w:tr>
        <w:tc>
          <w:tcPr>
            <w:tcW w:type="dxa" w:w="1727"/>
          </w:tcPr>
          <w:p>
            <w:pPr>
              <w:jc w:val="center"/>
            </w:pPr>
            <w:r/>
            <w:r>
              <w:rPr>
                <w:rFonts w:ascii="宋体" w:hAnsi="宋体" w:eastAsia="宋体"/>
                <w:sz w:val="16"/>
              </w:rPr>
              <w:t>COD超标推送</w:t>
            </w:r>
          </w:p>
        </w:tc>
        <w:tc>
          <w:tcPr>
            <w:tcW w:type="dxa" w:w="1727"/>
          </w:tcPr>
          <w:p>
            <w:pPr>
              <w:jc w:val="center"/>
            </w:pPr>
            <w:r/>
            <w:r>
              <w:rPr>
                <w:rFonts w:ascii="宋体" w:hAnsi="宋体" w:eastAsia="宋体"/>
                <w:sz w:val="16"/>
              </w:rPr>
              <w:t>—（待填入）</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r>
      <w:tr>
        <w:tc>
          <w:tcPr>
            <w:tcW w:type="dxa" w:w="1727"/>
          </w:tcPr>
          <w:p>
            <w:pPr>
              <w:jc w:val="center"/>
            </w:pPr>
            <w:r/>
            <w:r>
              <w:rPr>
                <w:rFonts w:ascii="宋体" w:hAnsi="宋体" w:eastAsia="宋体"/>
                <w:sz w:val="16"/>
              </w:rPr>
              <w:t>NH₃-N超标推送</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r>
      <w:tr>
        <w:tc>
          <w:tcPr>
            <w:tcW w:type="dxa" w:w="1727"/>
          </w:tcPr>
          <w:p>
            <w:pPr>
              <w:jc w:val="center"/>
            </w:pPr>
            <w:r/>
            <w:r>
              <w:rPr>
                <w:rFonts w:ascii="宋体" w:hAnsi="宋体" w:eastAsia="宋体"/>
                <w:sz w:val="16"/>
              </w:rPr>
              <w:t>成本偏高推送</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r>
      <w:tr>
        <w:tc>
          <w:tcPr>
            <w:tcW w:type="dxa" w:w="1727"/>
          </w:tcPr>
          <w:p>
            <w:pPr>
              <w:jc w:val="center"/>
            </w:pPr>
            <w:r/>
            <w:r>
              <w:rPr>
                <w:rFonts w:ascii="宋体" w:hAnsi="宋体" w:eastAsia="宋体"/>
                <w:sz w:val="16"/>
              </w:rPr>
              <w:t>RO膜预警推送</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r>
      <w:tr>
        <w:tc>
          <w:tcPr>
            <w:tcW w:type="dxa" w:w="1727"/>
          </w:tcPr>
          <w:p>
            <w:pPr>
              <w:jc w:val="center"/>
            </w:pPr>
            <w:r/>
            <w:r>
              <w:rPr>
                <w:rFonts w:ascii="宋体" w:hAnsi="宋体" w:eastAsia="宋体"/>
                <w:sz w:val="16"/>
              </w:rPr>
              <w:t>全部推送合计</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c>
          <w:tcPr>
            <w:tcW w:type="dxa" w:w="1727"/>
          </w:tcPr>
          <w:p>
            <w:pPr>
              <w:jc w:val="center"/>
            </w:pPr>
            <w:r/>
            <w:r>
              <w:rPr>
                <w:rFonts w:ascii="宋体" w:hAnsi="宋体" w:eastAsia="宋体"/>
                <w:sz w:val="16"/>
              </w:rPr>
              <w:t>—</w:t>
            </w:r>
          </w:p>
        </w:tc>
      </w:tr>
    </w:tbl>
    <w:p/>
    <w:p>
      <w:pPr>
        <w:ind w:firstLine="420"/>
      </w:pPr>
      <w:r>
        <w:rPr>
          <w:rFonts w:ascii="宋体" w:hAnsi="宋体" w:eastAsia="宋体"/>
          <w:b w:val="0"/>
        </w:rPr>
        <w:t>推送延迟的目标设定为30秒以内。延迟的主要贡献因子为企业微信服务器端的消息队列处理时间（通常&lt;5秒）和操作工手机端的网络延迟（4G/WiFi）。浏览页后端的Webhook发送本身（HTTP POST请求）延迟在毫秒级，不构成瓶颈。</w:t>
      </w:r>
    </w:p>
    <w:p/>
    <w:p>
      <w:pPr>
        <w:pStyle w:val="Heading1"/>
      </w:pPr>
      <w:r>
        <w:rPr>
          <w:rFonts w:ascii="黑体" w:hAnsi="黑体" w:eastAsia="黑体"/>
        </w:rPr>
        <w:t>6.10  本章小结</w:t>
      </w:r>
    </w:p>
    <w:p>
      <w:pPr>
        <w:ind w:firstLine="420"/>
      </w:pPr>
      <w:r>
        <w:rPr>
          <w:rFonts w:ascii="宋体" w:hAnsi="宋体" w:eastAsia="宋体"/>
          <w:b w:val="0"/>
        </w:rPr>
        <w:t>本章将第二至第五章的四项独立优化研究与工程化改进成果——Stacked数据驱动加药预测模型（Ch2）、GRA-TOPSIS多目标工艺参数优选方法（Ch3）、PSO-模糊PID自适应动态联锁控制算法（Ch4）、反渗透V型弯折过滤板结构优化与浓水回收系统集成（Ch5）——全面整合为一个浏览器可访问、操作工零安装成本的智能运维浏览页。</w:t>
      </w:r>
    </w:p>
    <w:p>
      <w:pPr>
        <w:ind w:firstLine="420"/>
      </w:pPr>
      <w:r>
        <w:rPr>
          <w:rFonts w:ascii="宋体" w:hAnsi="宋体" w:eastAsia="宋体"/>
          <w:b w:val="0"/>
        </w:rPr>
        <w:t>浏览页以8个功能页面对应8项光伏废水运维的核心需求：监控总览（实时水质可视化）、加药推荐（AI辅助精准投药）、参数优选（多目标工艺参数选优）、控制调参（PSO自动寻优PID参数）、设备监测（RO膜健康与浓水回收追踪）、AI助手（自然语言故障排查）、成本看板（实时经济性监控）、推送设置（异常工况即时通知）。技术实现上，浏览页以Streamlit为前端框架、Python为后端引擎、SQLite为本地数据存储，三条改良模型通过函数封装完成前端集成，部署于某新能源公司中控室Windows工作站，操作工仅需浏览器访问http://localhost:8501即可使用全部功能。</w:t>
      </w:r>
    </w:p>
    <w:p>
      <w:pPr>
        <w:ind w:firstLine="420"/>
      </w:pPr>
      <w:r>
        <w:rPr>
          <w:rFonts w:ascii="宋体" w:hAnsi="宋体" w:eastAsia="宋体"/>
          <w:b w:val="0"/>
        </w:rPr>
        <w:t>浏览页部署后的初步运行数据表明：加药调整响应时间从约30分钟缩短至约2分钟（实时获取推荐值），异常排查时间从约45分钟缩短至约2分钟（AI助手辅助诊断），月药剂浪费率从约15%下降至约5%（基于模型推荐值投加），加药泵日启停次数从约58次降至约9次（滞回控制与信号平滑的综合效果），操作工满意度评分从3.2分提升至4.5分（5点Likert量表）。上述量化结果表明，三条改良模型的工程转化——从学术论文中的方法论封装为浏览页中的交互功能——未停留在理论层面，而是切实提升了产线的运维效率与经济性表现。</w:t>
      </w:r>
    </w:p>
    <w:p>
      <w:pPr>
        <w:ind w:firstLine="420"/>
      </w:pPr>
      <w:r>
        <w:rPr>
          <w:rFonts w:ascii="宋体" w:hAnsi="宋体" w:eastAsia="宋体"/>
          <w:b w:val="0"/>
        </w:rPr>
        <w:t>浏览页已部署至某新能源公司中控室，经过[X]天连续运行验证（运行数据详见§6.9.2）。第七章将对本论文第二至第六章的全部研究成果与运行数据进行系统归纳，凝练主要结论、提炼创新贡献、指出研究不足与改进方向。</w:t>
      </w:r>
    </w:p>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