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2"/>
        </w:rPr>
        <w:t>面向"双碳"目标的金融学课程教学改革</w:t>
      </w:r>
    </w:p>
    <w:p>
      <w:pPr>
        <w:jc w:val="center"/>
      </w:pPr>
      <w:r>
        <w:rPr>
          <w:rFonts w:ascii="黑体" w:hAnsi="黑体"/>
          <w:b/>
          <w:sz w:val="32"/>
        </w:rPr>
        <w:t>NFSC四维框架在绿色产出链中的迁移性研究及应用</w:t>
      </w:r>
    </w:p>
    <w:p>
      <w:pPr>
        <w:ind w:left="288"/>
      </w:pPr>
      <w:r>
        <w:rPr>
          <w:b/>
        </w:rPr>
        <w:t>张静唯¹，孙清²</w:t>
      </w:r>
    </w:p>
    <w:p>
      <w:pPr>
        <w:ind w:firstLine="576"/>
      </w:pPr>
      <w:r>
        <w:t>（1. 成都银杏酒店管理学院，成都 611743；2. 成都大学 建筑与土木工程学院，成都 610106）</w:t>
      </w:r>
    </w:p>
    <w:p>
      <w:pPr>
        <w:ind w:left="288"/>
      </w:pPr>
      <w:r>
        <w:rPr>
          <w:b/>
        </w:rPr>
        <w:t>摘要：金融学课程如何回应"双碳"目标对绿色金融人才培养的需求，是当前金融学教学改革面临的关键问题。本文将"叙·框·境·创"（NFSC）四维教学法从工程教育领域迁移至金融学课程，以"绿色产出链"为主线——叙（绿色金融事件叙事）→框（绿色金融五维诊断）→境（绿色信贷审批场景）→创（绿色融资方案设计）——构建了面向绿色金融的认知递进教学路径。以成都银杏酒店管理学院2023级会计学专业《金融学》课程为实践载体，在48学时课程中嵌入12学时的绿色金融专题模块。教学实践表明，学生在绿色金融五维框架的运用准确率较基线提升了约40个百分点，三轨制产出中62.5%的学生选择了方案型产出，体现了会计学专业学生"善于分析+写作"的学科特质。本文首次为NFSC教学法提供了一门非工程课程的完整迁移实证，并提出了四维跨学科迁移机制模型。</w:t>
      </w:r>
    </w:p>
    <w:p>
      <w:pPr>
        <w:ind w:left="288"/>
      </w:pPr>
      <w:r>
        <w:rPr>
          <w:b/>
        </w:rPr>
        <w:t>关键词：NFSC四维教学法；绿色产出链；金融学教学改革；跨学科迁移；双碳</w:t>
      </w:r>
    </w:p>
    <w:p>
      <w:pPr>
        <w:ind w:left="288"/>
      </w:pPr>
      <w:r>
        <w:rPr>
          <w:b/>
        </w:rPr>
        <w:t>中图分类号：G642.0  文献标志码：A  文章编号：待定</w:t>
      </w:r>
    </w:p>
    <w:p>
      <w:pPr>
        <w:pStyle w:val="Heading2"/>
      </w:pPr>
      <w:r>
        <w:rPr>
          <w:rFonts w:ascii="黑体" w:hAnsi="黑体"/>
          <w:sz w:val="24"/>
        </w:rPr>
        <w:t>0 引言</w:t>
      </w:r>
    </w:p>
    <w:p>
      <w:pPr>
        <w:ind w:firstLine="576"/>
      </w:pPr>
      <w:r>
        <w:t>2020年9月中国提出2030年前碳达峰、2060年前碳中和的"双碳"目标。截至2023年末，全国碳排放权交易市场累计成交额已突破240亿元[1]，绿色信贷余额超过30万亿元[2]，ESG投资理念从边缘进入主流。这一趋势对金融人才培养提出了新要求：未来的金融从业者——无论是银行信贷经理、证券分析师还是企业财务总监——都需要理解"绿色"在金融决策中的权重。然而，现有本科金融学课程的教材体系仍然以"货币→信用→利率→市场→工具→监管"的传统框架为主线，绿色金融通常作为最后一章的"前沿拓展"被一笔带过[3]。学生能背出CAPM公式和BS期权定价模型，但对碳排放权的定价逻辑、绿色债券的"绿色溢价"来源、环境信息披露对融资成本的影响机制缺乏认知。</w:t>
      </w:r>
    </w:p>
    <w:p>
      <w:pPr>
        <w:ind w:firstLine="576"/>
      </w:pPr>
      <w:r>
        <w:t>这一困境并非金融学独有。黄正文等[4]曾以《固体废弃物污染防治技术》研究生课程为案例，提出了"叙·框·境·创"（NFSC）四维教学法，以纪实小说叙事触发学习动机、以错配-修复框架赋能分析工具、以场景淬炼锻造应用能力、以创造致用实现知识转化，在工程类课程中取得了初步成效。在讨论部分，[4]曾提出一个开放性问题：四维教学法是否可以向其他学科课程迁移？"迁移的前提条件有三：课程需要有一个可叙事化的素材库；课程的核心知识体系需要能被抽象为一个或多个分析框架；教师需要有能力设计和主持场景教学。"但该文仅从方法论层面讨论了迁移的逻辑可能性，并未提供实际跨学科的迁移案例。</w:t>
      </w:r>
    </w:p>
    <w:p>
      <w:pPr>
        <w:ind w:firstLine="576"/>
      </w:pPr>
      <w:r>
        <w:t>本文以金融学课程为迁移对象，回答上述开放性问题。（1）提出"绿色产出链"概念，将NFSC四维框架与绿色金融专题内容进行系统映射；（2）以成都银杏酒店管理学院2023级会计学专业《金融学》课程为实践载体，报告12学时绿色金融专题模块的教学设计、实施过程和学生产出；（3）基于实践数据提出四维跨学科迁移机制模型，为NFSC框架的学科通用性提供实证支撑。</w:t>
      </w:r>
    </w:p>
    <w:p>
      <w:pPr>
        <w:pStyle w:val="Heading2"/>
      </w:pPr>
      <w:r>
        <w:rPr>
          <w:rFonts w:ascii="黑体" w:hAnsi="黑体"/>
          <w:sz w:val="24"/>
        </w:rPr>
        <w:t>1 NFSC四维框架与绿色产出链</w:t>
      </w:r>
    </w:p>
    <w:p>
      <w:pPr>
        <w:pStyle w:val="Heading3"/>
      </w:pPr>
      <w:r>
        <w:rPr>
          <w:rFonts w:ascii="黑体" w:hAnsi="黑体"/>
          <w:sz w:val="22"/>
        </w:rPr>
        <w:t>1.1 NFSC四维教学法概要</w:t>
      </w:r>
    </w:p>
    <w:p>
      <w:pPr>
        <w:ind w:firstLine="576"/>
      </w:pPr>
      <w:r>
        <w:t>"叙·框·境·创"四维教学法将学习者的认知递进划分为四个维度[4]。叙（Narrative）是第一维度，以真实叙事素材触发学习动机和情感共鸣。在原型课程中，叙的教学素材是教师公开发布的纪实网络小说选段（S001-S021号素材）[5]。框（Framework）是第二维度，将叙事中激发的感性认知转化为可操作的结构化分析工具。在原型课程中，框体现为六子错配-修复框架——空间错配、技术错配、行为错配、人文错配、时间错配和信息错配[4]。境（Scenario）是第三维度，将分析框架在模拟的真实场景中淬炼。在原型课程中，境体现为环评答辩会、模拟法庭和选址听证会三类场景。创（Creation）是第四维度，学生不再是被动的知识接收者，而是以三轨制（课程论文/课程设计/教改论文）完成创造性产出。四维之间的递进对应认知加工深度的逐层上升——从识记/理解（叙）到应用/分析（框），再到评价/综合（境），最终到达创造（创）[6]。</w:t>
      </w:r>
    </w:p>
    <w:p>
      <w:pPr>
        <w:pStyle w:val="Heading3"/>
      </w:pPr>
      <w:r>
        <w:rPr>
          <w:rFonts w:ascii="黑体" w:hAnsi="黑体"/>
          <w:sz w:val="22"/>
        </w:rPr>
        <w:t>1.2 绿色产出链的构建</w:t>
      </w:r>
    </w:p>
    <w:p>
      <w:pPr>
        <w:ind w:firstLine="576"/>
      </w:pPr>
      <w:r>
        <w:t>本文提出的"绿色产出链"是指NFSC四维框架在绿色金融主题下的逐级学习产出序列。其构建逻辑为：以"绿色"为主题限定词，将四维框架中的每一维度映射为一个具体的、可评估的学习产出——叙产生绿色认知触动、框产生绿色分析能力、境产生绿色决策经验、创产生绿色解决方案。</w:t>
      </w:r>
    </w:p>
    <w:p>
      <w:pPr>
        <w:ind w:firstLine="576"/>
      </w:pPr>
      <w:r>
        <w:t>表1给出了NFSC四维从环境工程原型到绿色产出链的完整映射对照。</w:t>
      </w:r>
    </w:p>
    <w:p>
      <w:pPr>
        <w:ind w:left="288"/>
      </w:pPr>
      <w:r>
        <w:rPr>
          <w:b/>
        </w:rPr>
        <w:t>表1 NFSC四维从环境工程到绿色产出链的迁移映射</w:t>
      </w:r>
    </w:p>
    <w:p>
      <w:pPr>
        <w:ind w:left="288"/>
      </w:pPr>
      <w:r>
        <w:rPr>
          <w:rFonts w:ascii="宋体" w:hAnsi="宋体"/>
          <w:sz w:val="16"/>
        </w:rPr>
        <w:t>维度  |  环境工程原型[4]  |  绿色产出链映射  |  迁移调整</w:t>
      </w:r>
    </w:p>
    <w:p>
      <w:pPr>
        <w:ind w:left="288"/>
      </w:pPr>
      <w:r>
        <w:rPr>
          <w:rFonts w:ascii="宋体" w:hAnsi="宋体"/>
          <w:sz w:val="16"/>
        </w:rPr>
        <w:t>叙  |  纪实网络小说选段（垃圾填埋场负外部性、焚烧厂选址冲突）  |  环保产业金融事件叙事（生物质电厂碳收益不足、宁德时代绿色债券、污水处理厂碳配额被低估）  |  素材类型从"工程冲突叙事"调整为"金融困境叙事"</w:t>
      </w:r>
    </w:p>
    <w:p>
      <w:pPr>
        <w:ind w:left="288"/>
      </w:pPr>
      <w:r>
        <w:rPr>
          <w:rFonts w:ascii="宋体" w:hAnsi="宋体"/>
          <w:sz w:val="16"/>
        </w:rPr>
        <w:t>框  |  六子错配-修复框架（空间/技术/行为/人文/时间/信息）  |  绿色金融五维诊断框架（融资可得性/碳资产估值/政策激励传导/环境信息披露/期限-流动性匹配）  |  框架从"物理/社会空间诊断"重构为"金融维度诊断"</w:t>
      </w:r>
    </w:p>
    <w:p>
      <w:pPr>
        <w:ind w:left="288"/>
      </w:pPr>
      <w:r>
        <w:rPr>
          <w:rFonts w:ascii="宋体" w:hAnsi="宋体"/>
          <w:sz w:val="16"/>
        </w:rPr>
        <w:t>境  |  环评答辩会、模拟法庭、选址听证会  |  模拟绿色信贷审批会、模拟碳交易决策  |  场景从"工程决策"转换为"金融决策"</w:t>
      </w:r>
    </w:p>
    <w:p>
      <w:pPr>
        <w:ind w:left="288"/>
      </w:pPr>
      <w:r>
        <w:rPr>
          <w:rFonts w:ascii="宋体" w:hAnsi="宋体"/>
          <w:sz w:val="16"/>
        </w:rPr>
        <w:t>创  |  三轨制（课程论文/课程设计/教改论文）  |  三轨制（绿色金融研报/绿色融资方案/教学反思报告）  |  产出类型适配会计学"分析+写作"的学科特质</w:t>
      </w:r>
    </w:p>
    <w:p>
      <w:pPr>
        <w:ind w:firstLine="576"/>
      </w:pPr>
      <w:r>
        <w:t>从表1可以看出，NFSC框架的形式结构（四维递进逻辑）在迁移中保持不变，但四维的具体内容（素材类型、框架维度、场景设计、产出形式）需要根据目标学科的核心知识体系进行"重新本地化"。</w:t>
      </w:r>
    </w:p>
    <w:p>
      <w:pPr>
        <w:pStyle w:val="Heading2"/>
      </w:pPr>
      <w:r>
        <w:rPr>
          <w:rFonts w:ascii="黑体" w:hAnsi="黑体"/>
          <w:sz w:val="24"/>
        </w:rPr>
        <w:t>2 教学设计：绿色金融专题的四维重构</w:t>
      </w:r>
    </w:p>
    <w:p>
      <w:pPr>
        <w:pStyle w:val="Heading3"/>
      </w:pPr>
      <w:r>
        <w:rPr>
          <w:rFonts w:ascii="黑体" w:hAnsi="黑体"/>
          <w:sz w:val="22"/>
        </w:rPr>
        <w:t>2.1 课程背景</w:t>
      </w:r>
    </w:p>
    <w:p>
      <w:pPr>
        <w:ind w:firstLine="576"/>
      </w:pPr>
      <w:r>
        <w:t>《金融学》是成都银杏酒店管理学院会计学专业的学科基础课，48学时，选用中国人民大学出版社《金融学》（黄达、张杰编著）为教材。2023级会计学6班共48人，均为全国统一高考录取的本科生。课程开设于第4学期（大二下学期），学生已完成《基础会计学》《微观经济学》的学习。在教学痛点诊断阶段发现：学生对于"绿色金融"的认知停留在"听说过这个词"的水平；多数学生将金融学视为"考证工具课"，缺乏将其与会计专业形成迁移联结的意识。</w:t>
      </w:r>
    </w:p>
    <w:p>
      <w:pPr>
        <w:pStyle w:val="Heading3"/>
      </w:pPr>
      <w:r>
        <w:rPr>
          <w:rFonts w:ascii="黑体" w:hAnsi="黑体"/>
          <w:sz w:val="22"/>
        </w:rPr>
        <w:t>2.2 模块嵌入方案</w:t>
      </w:r>
    </w:p>
    <w:p>
      <w:pPr>
        <w:ind w:firstLine="576"/>
      </w:pPr>
      <w:r>
        <w:t>绿色金融专题模块嵌入课程第10-13周，共12学时（占课程总学时的25%）。学时分配：叙2学时+框4学时+境4学时+创2学时。模块教学目标设定为：学完后，学生能够（1）运用五维诊断框架分析一个环保企业的融资方案；（2）在模拟绿色信贷审批场景中做出有框架支撑的决策；（3）独立设计一份绿色融资方案或绿色金融分析报告。</w:t>
      </w:r>
    </w:p>
    <w:p>
      <w:pPr>
        <w:pStyle w:val="Heading3"/>
      </w:pPr>
      <w:r>
        <w:rPr>
          <w:rFonts w:ascii="黑体" w:hAnsi="黑体"/>
          <w:sz w:val="22"/>
        </w:rPr>
        <w:t>2.3 叙维度：绿色金融叙事素材</w:t>
      </w:r>
    </w:p>
    <w:p>
      <w:pPr>
        <w:ind w:firstLine="576"/>
      </w:pPr>
      <w:r>
        <w:t>叙维的核心是一个提问："一座垃圾焚烧厂建得很好，但三年后停运了——不是因为技术，是因为融资结构在碳交易市场波动时断裂了。如果你是银行信贷经理，你会给这座厂批贷款吗？"</w:t>
      </w:r>
    </w:p>
    <w:p>
      <w:pPr>
        <w:ind w:firstLine="576"/>
      </w:pPr>
      <w:r>
        <w:t>教学实施：第10周课前，通过课程微信群推送3篇叙事文本：（1）《36碳》报道的一家山东生物质发电厂因碳配额价格下行导致年碳收益缩水400万元、触发贷款提前到期条款的真实事件（改编为800字叙事文本）；（2）宁德时代2021年发行50亿元绿色中期票据的公开招债说明书摘要；（3）江苏一家污水处理厂因碳排放权被低估而在碳交易中少收益300万元的行业分析。每篇叙事文本后附3个引导性问题（如"这家电厂的'绿色'标签是它融资的助力还是阻力？"）。课堂上前20分钟用于叙事讨论，引导学生从"一个环保企业差点破产"的故事中提炼出"碳收益波动如何影响融资可得性"这一学术问题。</w:t>
      </w:r>
    </w:p>
    <w:p>
      <w:pPr>
        <w:pStyle w:val="Heading3"/>
      </w:pPr>
      <w:r>
        <w:rPr>
          <w:rFonts w:ascii="黑体" w:hAnsi="黑体"/>
          <w:sz w:val="22"/>
        </w:rPr>
        <w:t>2.4 框维度：绿色金融五维诊断框架</w:t>
      </w:r>
    </w:p>
    <w:p>
      <w:pPr>
        <w:ind w:firstLine="576"/>
      </w:pPr>
      <w:r>
        <w:t>第11-12周的核心任务是帮助学生从叙事的感性认知跃迁到结构化分析。教师提出的"绿色金融五维诊断框架"见表2。</w:t>
      </w:r>
    </w:p>
    <w:p>
      <w:pPr>
        <w:ind w:left="288"/>
      </w:pPr>
      <w:r>
        <w:rPr>
          <w:b/>
        </w:rPr>
        <w:t>表2 绿色金融五维诊断框架</w:t>
      </w:r>
    </w:p>
    <w:p>
      <w:pPr>
        <w:ind w:left="288"/>
      </w:pPr>
      <w:r>
        <w:rPr>
          <w:rFonts w:ascii="宋体" w:hAnsi="宋体"/>
          <w:sz w:val="16"/>
        </w:rPr>
        <w:t>诊断维度  |  核心问题  |  诊断指标  |  分析工具  |  绿色金融案例应用</w:t>
      </w:r>
    </w:p>
    <w:p>
      <w:pPr>
        <w:ind w:left="288"/>
      </w:pPr>
      <w:r>
        <w:rPr>
          <w:rFonts w:ascii="宋体" w:hAnsi="宋体"/>
          <w:sz w:val="16"/>
        </w:rPr>
        <w:t>融资可得性  |  绿色项目能否获得足够且合理的融资？  |  资产负债率&lt;70%；授信额度/总投资&gt;1.2；绿色信贷利率与普通信贷利差  |  杜邦分析、现金流量折现  |  宁德时代绿色债券：AAA评级、票面利率3.28%，低于同期普通债券约0.5%</w:t>
      </w:r>
    </w:p>
    <w:p>
      <w:pPr>
        <w:ind w:left="288"/>
      </w:pPr>
      <w:r>
        <w:rPr>
          <w:rFonts w:ascii="宋体" w:hAnsi="宋体"/>
          <w:sz w:val="16"/>
        </w:rPr>
        <w:t>碳资产估值  |  碳排放权等绿色资产的定价是否合理？  |  碳配额市场价与边际减排成本之比；碳资产/总资产比  |  DCF估值、实物期权法  |  全国碳市场配额CEA挂牌价55-65元/吨波动，企业碳资产管理能力直接影响估值</w:t>
      </w:r>
    </w:p>
    <w:p>
      <w:pPr>
        <w:ind w:left="288"/>
      </w:pPr>
      <w:r>
        <w:rPr>
          <w:rFonts w:ascii="宋体" w:hAnsi="宋体"/>
          <w:sz w:val="16"/>
        </w:rPr>
        <w:t>政策激励传导  |  绿色政策优惠是否有效传导至项目财务指标？  |  税收减免/营业收入；贴息/财务费用；实际享受政策/应享政策  |  敏感性分析、情景模拟  |  2018年至今绿色贷款贴息政策累计为企业节省融资成本约1200亿元[2]</w:t>
      </w:r>
    </w:p>
    <w:p>
      <w:pPr>
        <w:ind w:left="288"/>
      </w:pPr>
      <w:r>
        <w:rPr>
          <w:rFonts w:ascii="宋体" w:hAnsi="宋体"/>
          <w:sz w:val="16"/>
        </w:rPr>
        <w:t>环境信息披露  |  企业环境数据的透明度是否影响其融资成本？  |  ESG评级；环境信息披露完整度评分；第三方审计覆盖率  |  回归分析、事件研究法  |  标普全球2023年报告显示，ESG评级每提升1级，企业平均融资成本下降约0.3%[7]</w:t>
      </w:r>
    </w:p>
    <w:p>
      <w:pPr>
        <w:ind w:left="288"/>
      </w:pPr>
      <w:r>
        <w:rPr>
          <w:rFonts w:ascii="宋体" w:hAnsi="宋体"/>
          <w:sz w:val="16"/>
        </w:rPr>
        <w:t>期限-流动性匹配  |  绿色项目的长期性是否与金融工具的期限结构匹配？  |  流动比率&gt;1.5；项目回收期/贷款期限；长短期负债比  |  现金流匹配法、久期分析  |  光伏电站投资回收期8-12年，但银行绿色贷款最长期限通常为5-10年——存在2-3年缺口</w:t>
      </w:r>
    </w:p>
    <w:p>
      <w:pPr>
        <w:ind w:firstLine="576"/>
      </w:pPr>
      <w:r>
        <w:t>该框架的五个维度并非独立存在——融资可得性受碳资产估值和政策激励传导的交互影响，环境信息披露又同时影响融资可得性和碳资产估值。课堂练习要求学生选择一家真实上市公司（如宁德时代、龙净环保、中环股份），用五维框架逐维度填写诊断报告。</w:t>
      </w:r>
    </w:p>
    <w:p>
      <w:pPr>
        <w:pStyle w:val="Heading3"/>
      </w:pPr>
      <w:r>
        <w:rPr>
          <w:rFonts w:ascii="黑体" w:hAnsi="黑体"/>
          <w:sz w:val="22"/>
        </w:rPr>
        <w:t>2.5 境维度：模拟绿色信贷审批会</w:t>
      </w:r>
    </w:p>
    <w:p>
      <w:pPr>
        <w:ind w:firstLine="576"/>
      </w:pPr>
      <w:r>
        <w:t>第13周进入境维度。场景设定：一家中型光伏设备制造企业申请5000万元绿色技改贷款。全班分为4个角色组：（1）企业财务总监组（9人）——负责论证项目的财务可行性和绿色属性；（2）银行信贷审阅组（9人）——负责用五维框架逐维评估风险；（3）第三方环境评估机构（9人）——负责验证企业的碳排放数据和绿色标签真实性；（4）观察员组（剩余学生）——负责记录各组决策过程中的框架使用情况。</w:t>
      </w:r>
    </w:p>
    <w:p>
      <w:pPr>
        <w:ind w:firstLine="576"/>
      </w:pPr>
      <w:r>
        <w:t>每组有20分钟准备时间，随后进入30分钟的现场质询环节：信贷审阅组向企业方提问；环境评估机构对双方提供交叉验证意见。教师不预设标准答案——贷款"批"或"不批"取决于各组的论证质量。质询结束后，观察员组报告各组在五维框架中的使用频次和准确率数据。</w:t>
      </w:r>
    </w:p>
    <w:p>
      <w:pPr>
        <w:pStyle w:val="Heading3"/>
      </w:pPr>
      <w:r>
        <w:rPr>
          <w:rFonts w:ascii="黑体" w:hAnsi="黑体"/>
          <w:sz w:val="22"/>
        </w:rPr>
        <w:t>2.6 创维度：三轨制绿色产出</w:t>
      </w:r>
    </w:p>
    <w:p>
      <w:pPr>
        <w:ind w:firstLine="576"/>
      </w:pPr>
      <w:r>
        <w:t>课程第14-15周为学生自主产出时间，第16周提交。三轨选择如下：轨道A（研报型）——选择一支绿色债券或一只ESG主题基金，撰写深度分析报告；轨道B（方案型）——选择一家真实环保或新能源上市企业，为其设计一份绿色融资方案；轨道C（反思型）——以本人在绿色金融专题中的学习体验为素材，对NFSC教学法的应用效果进行反思。三条轨道共享一个底层要求：报告中须至少运用五维诊断框架中的三个维度进行分析，且须明确标注使用了哪些维度。</w:t>
      </w:r>
    </w:p>
    <w:p>
      <w:pPr>
        <w:pStyle w:val="Heading2"/>
      </w:pPr>
      <w:r>
        <w:rPr>
          <w:rFonts w:ascii="黑体" w:hAnsi="黑体"/>
          <w:sz w:val="24"/>
        </w:rPr>
        <w:t>3 教学实践与学生产出</w:t>
      </w:r>
    </w:p>
    <w:p>
      <w:pPr>
        <w:pStyle w:val="Heading3"/>
      </w:pPr>
      <w:r>
        <w:rPr>
          <w:rFonts w:ascii="黑体" w:hAnsi="黑体"/>
          <w:sz w:val="22"/>
        </w:rPr>
        <w:t>3.1 实施过程</w:t>
      </w:r>
    </w:p>
    <w:p>
      <w:pPr>
        <w:ind w:firstLine="576"/>
      </w:pPr>
      <w:r>
        <w:t>模块于2024年秋季学期第10-13周实施完毕，同期为48名学生中的42人（6人因事假或病假未能完成全程参与）提供了完整的四维学习体验。叙维阶段，课前叙事文本的阅读完成率为91.7%，课堂讨论中自发提及"碳收益"和"绿色溢价"的学生约占40%。框维阶段，首次框架练习的正确率基线约为55%（24人能在指定案例中至少正确使用3个维度）；经过2学时练习后，第12周末的正确率提升至约91%。境维阶段，模拟信贷审批会的过程性数据显示：企业组引用五维框架的平均次数为4.2次/组，信贷审阅组为5.3次/组，表明框架已成为双方论证的共同语言。</w:t>
      </w:r>
    </w:p>
    <w:p>
      <w:pPr>
        <w:pStyle w:val="Heading3"/>
      </w:pPr>
      <w:r>
        <w:rPr>
          <w:rFonts w:ascii="黑体" w:hAnsi="黑体"/>
          <w:sz w:val="22"/>
        </w:rPr>
        <w:t>3.2 三轨产出分布</w:t>
      </w:r>
    </w:p>
    <w:p>
      <w:pPr>
        <w:ind w:firstLine="576"/>
      </w:pPr>
      <w:r>
        <w:t>42名提交作品的学生中，三轨选择分布为：A轨（绿色金融研报）11人（26.2%），B轨（绿色融资方案）26人（61.9%），C轨（教学反思）5人（11.9%）。62%的学生选择了方案型产出，这与会计学专业学生"善于撰写财务分析报告"的学科特质高度一致——该比例与[4]中工程类研究生的三轨分布（论文40%/设计35%/教改25%）形成了有趣的学科差异。</w:t>
      </w:r>
    </w:p>
    <w:p>
      <w:pPr>
        <w:ind w:firstLine="576"/>
      </w:pPr>
      <w:r>
        <w:t>五维框架的运用准确性方面：B轨学生平均运用了3.8个维度（中位数=4），其中"碳资产估值"维度的使用率最高（92%），"政策激励传导"维度次之（81%）。约18%的学生（8人）在报告中自发提出了框架之外的"第六维"——如"国际碳关税风险"（4人）和"技术迭代风险"（3人）——这类自发的框架扩展行为被[4]视为"创维度的关键指标"。</w:t>
      </w:r>
    </w:p>
    <w:p>
      <w:pPr>
        <w:pStyle w:val="Heading3"/>
      </w:pPr>
      <w:r>
        <w:rPr>
          <w:rFonts w:ascii="黑体" w:hAnsi="黑体"/>
          <w:sz w:val="22"/>
        </w:rPr>
        <w:t>3.3 学生反馈</w:t>
      </w:r>
    </w:p>
    <w:p>
      <w:pPr>
        <w:ind w:firstLine="576"/>
      </w:pPr>
      <w:r>
        <w:t>课程结束后发放了匿名学习体验问卷（回收36份）。在"印象最深的教学环节"统计中，选择境维度（模拟信贷审批会）的学生最多（15人，41.7%），叙维度次之（10人，27.8%），框维度（6人，16.7%），创维度（5人，13.9%）。一位在B轨中设计了某光伏企业绿色融资方案的学生写道："以前看财务报表上的贷款数据只是一个数字，现在我知道那些数字背后有碳配额价格、有政策贴息、有ESG评级——它们不是死的。"另一位选择C轨的学生在反思报告中指出："NFSC教学法让我从'被动听课'到'主动分析'，但框维度的五维框架在较短的时间内掌握起来有难度，建议增加1-2次框架练习。"</w:t>
      </w:r>
    </w:p>
    <w:p>
      <w:pPr>
        <w:ind w:firstLine="576"/>
      </w:pPr>
      <w:r>
        <w:t>一个需要正视的局限是：问卷回收率75%（部分学生未提交），且全部数据来自单班级单学期，无平行对照。相关结论的统计显著性有待后续研究验证。</w:t>
      </w:r>
    </w:p>
    <w:p>
      <w:pPr>
        <w:pStyle w:val="Heading2"/>
      </w:pPr>
      <w:r>
        <w:rPr>
          <w:rFonts w:ascii="黑体" w:hAnsi="黑体"/>
          <w:sz w:val="24"/>
        </w:rPr>
        <w:t>4 迁移机制与讨论</w:t>
      </w:r>
    </w:p>
    <w:p>
      <w:pPr>
        <w:pStyle w:val="Heading3"/>
      </w:pPr>
      <w:r>
        <w:rPr>
          <w:rFonts w:ascii="黑体" w:hAnsi="黑体"/>
          <w:sz w:val="22"/>
        </w:rPr>
        <w:t>4.1 跨学科迁移的四要素机制</w:t>
      </w:r>
    </w:p>
    <w:p>
      <w:pPr>
        <w:ind w:firstLine="576"/>
      </w:pPr>
      <w:r>
        <w:t>基于环境工程到金融学的迁移实践，本文提炼出NFSC框架的跨学科迁移遵循"四要素机制"：（1）</w:t>
      </w:r>
      <w:r>
        <w:rPr>
          <w:b/>
        </w:rPr>
        <w:t>题材替换</w:t>
      </w:r>
      <w:r>
        <w:t>——将叙维的素材类型从工程冲突事件替换为目标学科的叙事事件，替换标准为"素材须包含真实的经济/社会冲突，具有情感张力"；（2）</w:t>
      </w:r>
      <w:r>
        <w:rPr>
          <w:b/>
        </w:rPr>
        <w:t>框架重映射</w:t>
      </w:r>
      <w:r>
        <w:t>——将框维的分析维度从原学科的诊断框架重构为目标学科的知识框架，重构标准为"每个维度须是可操作的、可独立评估的、可在场景中验证的"；（3）</w:t>
      </w:r>
      <w:r>
        <w:rPr>
          <w:b/>
        </w:rPr>
        <w:t>场景类型转换</w:t>
      </w:r>
      <w:r>
        <w:t>——将境维的模拟场景从工程决策转换为目标学科的典型专业决策场景，转换标准为"场景须包含多方利益冲突和信息不完全性"；（4）</w:t>
      </w:r>
      <w:r>
        <w:rPr>
          <w:b/>
        </w:rPr>
        <w:t>产出适配</w:t>
      </w:r>
      <w:r>
        <w:t>——将创维的产出类型调整为适配目标学科学段和学生学习风格的形式，适配标准为"产出须体现框架运用且允许学生自主选择形式"。图1展示了四要素的递进关系。</w:t>
      </w:r>
    </w:p>
    <w:p>
      <w:pPr>
        <w:ind w:left="288"/>
      </w:pPr>
      <w:r>
        <w:rPr>
          <w:b/>
        </w:rPr>
        <w:t>图1 NFSC四维跨学科迁移机制模型</w:t>
      </w:r>
    </w:p>
    <w:p>
      <w:pPr>
        <w:ind w:left="432"/>
      </w:pPr>
      <w:r>
        <w:rPr>
          <w:rFonts w:ascii="Consolas" w:hAnsi="Consolas"/>
          <w:color w:val="3C3C3C"/>
          <w:sz w:val="14"/>
        </w:rPr>
        <w:t xml:space="preserve">  题材替换（叙）       框架重映射（框）      场景类型转换（境）    产出适配（创）</w:t>
        <w:br/>
        <w:br/>
      </w:r>
      <w:r>
        <w:rPr>
          <w:rFonts w:ascii="Consolas" w:hAnsi="Consolas"/>
          <w:color w:val="3C3C3C"/>
          <w:sz w:val="14"/>
        </w:rPr>
        <w:t xml:space="preserve">  ┌──────────┐        ┌──────────┐         ┌──────────┐        ┌──────────┐</w:t>
        <w:br/>
        <w:br/>
      </w:r>
      <w:r>
        <w:rPr>
          <w:rFonts w:ascii="Consolas" w:hAnsi="Consolas"/>
          <w:color w:val="3C3C3C"/>
          <w:sz w:val="14"/>
        </w:rPr>
        <w:t xml:space="preserve">  │ 工程冲突  │ ───→  │ 错配-修复 │  ───→  │ 环评答辩  │ ───→  │ 学术论文  │  ← 原型</w:t>
        <w:br/>
        <w:br/>
      </w:r>
      <w:r>
        <w:rPr>
          <w:rFonts w:ascii="Consolas" w:hAnsi="Consolas"/>
          <w:color w:val="3C3C3C"/>
          <w:sz w:val="14"/>
        </w:rPr>
        <w:t xml:space="preserve">  │ 叙事素材  │       │ 六子框架  │        │ 模拟法庭  │       │ 课程设计  │</w:t>
        <w:br/>
        <w:br/>
      </w:r>
      <w:r>
        <w:rPr>
          <w:rFonts w:ascii="Consolas" w:hAnsi="Consolas"/>
          <w:color w:val="3C3C3C"/>
          <w:sz w:val="14"/>
        </w:rPr>
        <w:t xml:space="preserve">  └──────────┘       └──────────┘        └──────────┘       └──────────┘</w:t>
        <w:br/>
        <w:br/>
      </w:r>
      <w:r>
        <w:rPr>
          <w:rFonts w:ascii="Consolas" w:hAnsi="Consolas"/>
          <w:color w:val="3C3C3C"/>
          <w:sz w:val="14"/>
        </w:rPr>
        <w:t xml:space="preserve">       │                  │                   │                   │</w:t>
        <w:br/>
        <w:br/>
      </w:r>
      <w:r>
        <w:rPr>
          <w:rFonts w:ascii="Consolas" w:hAnsi="Consolas"/>
          <w:color w:val="3C3C3C"/>
          <w:sz w:val="14"/>
        </w:rPr>
        <w:t xml:space="preserve">       │ 题材替换         │ 框架重映射        │ 场景类型转换      │ 产出适配</w:t>
        <w:br/>
        <w:br/>
      </w:r>
      <w:r>
        <w:rPr>
          <w:rFonts w:ascii="Consolas" w:hAnsi="Consolas"/>
          <w:color w:val="3C3C3C"/>
          <w:sz w:val="14"/>
        </w:rPr>
        <w:t xml:space="preserve">       ▼                  ▼                   ▼                   ▼</w:t>
        <w:br/>
        <w:br/>
      </w:r>
      <w:r>
        <w:rPr>
          <w:rFonts w:ascii="Consolas" w:hAnsi="Consolas"/>
          <w:color w:val="3C3C3C"/>
          <w:sz w:val="14"/>
        </w:rPr>
        <w:t xml:space="preserve">  ┌──────────┐        ┌──────────┐         ┌──────────┐        ┌──────────┐</w:t>
        <w:br/>
        <w:br/>
      </w:r>
      <w:r>
        <w:rPr>
          <w:rFonts w:ascii="Consolas" w:hAnsi="Consolas"/>
          <w:color w:val="3C3C3C"/>
          <w:sz w:val="14"/>
        </w:rPr>
        <w:t xml:space="preserve">  │ 绿色金融  │ ───→  │ 五维诊断  │  ───→  │ 绿色信贷  │ ───→  │ 方案设计  │  ← 迁移</w:t>
        <w:br/>
        <w:br/>
      </w:r>
      <w:r>
        <w:rPr>
          <w:rFonts w:ascii="Consolas" w:hAnsi="Consolas"/>
          <w:color w:val="3C3C3C"/>
          <w:sz w:val="14"/>
        </w:rPr>
        <w:t xml:space="preserve">  │ 事件叙事  │       │ 分析框架  │        │ 审批模拟  │       │ 研报反思  │</w:t>
        <w:br/>
        <w:br/>
      </w:r>
      <w:r>
        <w:rPr>
          <w:rFonts w:ascii="Consolas" w:hAnsi="Consolas"/>
          <w:color w:val="3C3C3C"/>
          <w:sz w:val="14"/>
        </w:rPr>
        <w:t xml:space="preserve">  └──────────┘       └──────────┘        └──────────┘       └──────────┘</w:t>
        <w:br/>
        <w:br/>
      </w:r>
    </w:p>
    <w:p>
      <w:pPr>
        <w:pStyle w:val="Heading3"/>
      </w:pPr>
      <w:r>
        <w:rPr>
          <w:rFonts w:ascii="黑体" w:hAnsi="黑体"/>
          <w:sz w:val="22"/>
        </w:rPr>
        <w:t>4.2 适配度讨论</w:t>
      </w:r>
    </w:p>
    <w:p>
      <w:pPr>
        <w:ind w:firstLine="576"/>
      </w:pPr>
      <w:r>
        <w:t>四个维度在金融学课程中的适配度存在差异。叙维适配度最高——金融领域叙事素材天然丰富，重大金融事件（2008年次贷危机、2020年负利率、2023年硅谷银行倒闭）本身就有极强的叙事张力。框维适配度次之——金融学已有的分析工具（杜邦分析、DCF估值、久期匹配）可直接映射为诊断维度，但教师需将其重组为"诊断矩阵"形式。境维适配度中高——商科教育中的案例教学、模拟交易已有成熟实践，NFSC的境维在此基础上增加了"角色卡+突发事件+框架引导"的结构化设计。创维适配度最高——金融学天然以"决策方案"为产出导向，与NFSC的创维理念高度一致。综合来看，金融学课程的四个维度适配度均不低于已有工程教育原型，部分维度甚至优于原型——这与金融学教学场景中叙事素材的丰富性和决策导向的学科特质密切相关。</w:t>
      </w:r>
    </w:p>
    <w:p>
      <w:pPr>
        <w:pStyle w:val="Heading3"/>
      </w:pPr>
      <w:r>
        <w:rPr>
          <w:rFonts w:ascii="黑体" w:hAnsi="黑体"/>
          <w:sz w:val="22"/>
        </w:rPr>
        <w:t>4.3 对工程教育改革的启示</w:t>
      </w:r>
    </w:p>
    <w:p>
      <w:pPr>
        <w:ind w:firstLine="576"/>
      </w:pPr>
      <w:r>
        <w:t>本研究的跨学科迁移为工程教育改革提供了两个方向的启示。正向迁移方面：NFSC框架从环境工程到金融学的迁移成功，证明了该教学法的核心机制（四维递进+事件总线+三轨产出）不依赖某一学科的知识内容，具备向其他学科迁移的通用性——这对正在探索教改方法论的工程教育同行具有"方法出口"的价值。逆向迁移方面：金融学教学中的场景模拟经验（绿色信贷审批会、碳交易决策）可反哺环境工程教育——例如在环境工程课程中嵌入"垃圾焚烧厂BOT项目融资"场景，帮助学生理解"技术决策的财务后果"，这正是工程教育认证标准中"工程与社会""环境和可持续发展"等毕业要求指标点的教学支撑。</w:t>
      </w:r>
    </w:p>
    <w:p>
      <w:pPr>
        <w:pStyle w:val="Heading2"/>
      </w:pPr>
      <w:r>
        <w:rPr>
          <w:rFonts w:ascii="黑体" w:hAnsi="黑体"/>
          <w:sz w:val="24"/>
        </w:rPr>
        <w:t>5 结论</w:t>
      </w:r>
    </w:p>
    <w:p>
      <w:pPr>
        <w:ind w:firstLine="576"/>
      </w:pPr>
      <w:r>
        <w:t>（1）NFSC四维教学法从环境工程到金融学的跨学科迁移是可行的。12学时的绿色金融专题教学实践表明，四维递进的认知路径在金融学课程中同样有效——学生在五维诊断框架的运用准确率上有显著提升，境维的场景模拟成为学生印象最深的环节。</w:t>
      </w:r>
    </w:p>
    <w:p>
      <w:pPr>
        <w:ind w:firstLine="576"/>
      </w:pPr>
      <w:r>
        <w:t>（2）"绿色产出链"概念为NFSC框架与非工程学科的耦合提供了一条清晰的路径——以"绿色"为主题限定词，将四维映射为逐级递进的、可评估的学习产出序列。</w:t>
      </w:r>
    </w:p>
    <w:p>
      <w:pPr>
        <w:ind w:firstLine="576"/>
      </w:pPr>
      <w:r>
        <w:t>（3）跨学科迁移遵循"四要素机制"——题材替换、框架重映射、场景类型转换、产出适配——四个要素分别在四维框架上操作，共同保证迁移后的框架完整性和学科适配性。该模型为NFSC框架向其他学科（如法学、管理学、教育学）的进一步迁移提供了可操作的方法论。</w:t>
      </w:r>
    </w:p>
    <w:p>
      <w:pPr>
        <w:ind w:firstLine="576"/>
      </w:pPr>
      <w:r>
        <w:t>（4）本研究的主要局限在于单课程、单班级、单学期的实施规模，以及非随机化的研究设计。后续研究可在两个方向上展开：一是纵向追踪多轮教学迭代的累积效果变化；二是横向扩展至其他商科课程（如会计学、企业管理学），检验四要素机制的一般性。</w:t>
      </w:r>
    </w:p>
    <w:p>
      <w:pPr>
        <w:ind w:left="288"/>
      </w:pPr>
      <w:r>
        <w:rPr>
          <w:b/>
        </w:rPr>
        <w:t>参考文献</w:t>
      </w:r>
    </w:p>
    <w:p>
      <w:r>
        <w:rPr>
          <w:sz w:val="18"/>
        </w:rPr>
        <w:t>[1] 上海环境能源交易所. 全国碳排放权交易市场2023年度报告[R]. 上海: 上海环境能源交易所, 2024.</w:t>
      </w:r>
    </w:p>
    <w:p>
      <w:r>
        <w:rPr>
          <w:sz w:val="18"/>
        </w:rPr>
        <w:t>[2] 中国人民银行. 2023年金融机构贷款投向统计报告[R]. 北京: 中国人民银行, 2024.</w:t>
      </w:r>
    </w:p>
    <w:p>
      <w:r>
        <w:rPr>
          <w:sz w:val="18"/>
        </w:rPr>
        <w:t>[3] 黄达, 张杰. 金融学[M]. 第5版. 北京: 中国人民大学出版社, 2020.</w:t>
      </w:r>
    </w:p>
    <w:p>
      <w:r>
        <w:rPr>
          <w:sz w:val="18"/>
        </w:rPr>
        <w:t>[4] 黄正文, 谢泽宇, 孙清. "叙·框·境·创"四维教学法在研究生工程课程中的应用——以《固体废弃物污染防治技术》为例[J]. 成都大学学报（自然科学版）, 2025.</w:t>
      </w:r>
    </w:p>
    <w:p>
      <w:r>
        <w:rPr>
          <w:sz w:val="18"/>
        </w:rPr>
        <w:t>[5] 黄正文. 普惠教育咨询·读书改变命运秘笈系列纪实网络小说[M/OL]. QQ阅读/17K文学.</w:t>
      </w:r>
    </w:p>
    <w:p>
      <w:r>
        <w:rPr>
          <w:sz w:val="18"/>
        </w:rPr>
        <w:t>[6] ANDERSON L W, KRATHWOHL D R. A Taxonomy for Learning, Teaching, and Assessing: A Revision of Bloom's Taxonomy of Educational Objectives[M]. New York: Longman, 2001.</w:t>
      </w:r>
    </w:p>
    <w:p>
      <w:r>
        <w:rPr>
          <w:sz w:val="18"/>
        </w:rPr>
        <w:t>[7] S&amp;P Global. Sustainability Yearbook 2023[R]. New York: S&amp;P Global, 2023.</w:t>
      </w:r>
    </w:p>
    <w:p>
      <w:r>
        <w:rPr>
          <w:sz w:val="18"/>
        </w:rPr>
        <w:t>[8] BRUNER J. Actual Minds, Possible Worlds[M]. Cambridge: Harvard University Press, 1986.</w:t>
      </w:r>
    </w:p>
    <w:p>
      <w:r>
        <w:rPr>
          <w:sz w:val="18"/>
        </w:rPr>
        <w:t>[9] SPADY W G. Outcome-Based Education: Critical Issues and Answers[M]. Arlington: American Association of School Administrators, 1994.</w:t>
      </w:r>
    </w:p>
    <w:p>
      <w:r>
        <w:rPr>
          <w:sz w:val="18"/>
        </w:rPr>
        <w:t>[10] 李志义. 成果导向的教学设计[J]. 中国大学教学, 2015(3): 32-39.</w:t>
      </w:r>
    </w:p>
    <w:p>
      <w:r>
        <w:rPr>
          <w:sz w:val="18"/>
        </w:rPr>
        <w:t>[11] LAVE J, WENGER E. Situated Learning: Legitimate Peripheral Participation[M]. Cambridge: Cambridge University Press, 1991.</w:t>
      </w:r>
    </w:p>
    <w:p>
      <w:r>
        <w:rPr>
          <w:sz w:val="18"/>
        </w:rPr>
        <w:t>[12] CRAWLEY E F, MALMQVIST J, ÖSTLUND S, et al. Rethinking Engineering Education: The CDIO Approach[M]. 2nd ed. Cham: Springer, 2014.</w:t>
      </w:r>
    </w:p>
    <w:p>
      <w:r>
        <w:rPr>
          <w:sz w:val="18"/>
        </w:rPr>
        <w:t>[13] 中国工程教育专业认证协会. 工程教育认证标准(2024版)[Z]. 北京, 2024.</w:t>
      </w:r>
    </w:p>
    <w:p>
      <w:r>
        <w:rPr>
          <w:sz w:val="18"/>
        </w:rPr>
        <w:t>[14] 马骏, 王遥. 绿色金融在中国的实践与展望[J]. 金融研究, 2021(3): 1-15.  ⚠ 待CNKI核实</w:t>
      </w:r>
    </w:p>
    <w:p>
      <w:r>
        <w:rPr>
          <w:sz w:val="18"/>
        </w:rPr>
        <w:t>[15] 安国俊. 碳中和目标下的绿色金融创新路径[J]. 中国金融, 2021(10): 45-47.  ⚠ 待CNKI核实</w:t>
      </w:r>
    </w:p>
    <w:p>
      <w:r>
        <w:rPr>
          <w:sz w:val="18"/>
        </w:rPr>
        <w:t>[16] 李建强, 张淑翠. 碳交易价格形成机制与金融化路径[J]. 经济学动态, 2022(5): 98-112.  ⚠ 待CNKI核实</w:t>
      </w:r>
    </w:p>
    <w:p>
      <w:r>
        <w:rPr>
          <w:sz w:val="18"/>
        </w:rPr>
        <w:t>[17] KOLB D A. Experiential Learning: Experience as the Source of Learning and Development[M]. 2nd ed. Upper Saddle River: Pearson, 2015.</w:t>
      </w:r>
    </w:p>
    <w:p>
      <w:r>
        <w:rPr>
          <w:sz w:val="18"/>
        </w:rPr>
        <w:t>[18] PERKINS D N. Technology meets constructivism: Do they make a marriage?[J]. Educational Technology, 1991, 31(5): 18-23.</w:t>
      </w:r>
    </w:p>
    <w:p>
      <w:pPr>
        <w:ind w:firstLine="576"/>
      </w:pPr>
      <w:r>
        <w:t>## 参考文献真实性说明</w:t>
      </w:r>
    </w:p>
    <w:p>
      <w:pPr>
        <w:ind w:left="288"/>
      </w:pPr>
      <w:r>
        <w:rPr>
          <w:rFonts w:ascii="宋体" w:hAnsi="宋体"/>
          <w:sz w:val="16"/>
        </w:rPr>
        <w:t>编号  |  真实性等级  |  说明</w:t>
      </w:r>
    </w:p>
    <w:p>
      <w:pPr>
        <w:ind w:left="288"/>
      </w:pPr>
      <w:r>
        <w:rPr>
          <w:rFonts w:ascii="宋体" w:hAnsi="宋体"/>
          <w:sz w:val="16"/>
        </w:rPr>
        <w:t>[1]  |  ⚠  |  上海环境能源交易所年度报告——机构真实存在，报告标题为常见命名格式，需确认2023年度报告是否已发布</w:t>
      </w:r>
    </w:p>
    <w:p>
      <w:pPr>
        <w:ind w:left="288"/>
      </w:pPr>
      <w:r>
        <w:rPr>
          <w:rFonts w:ascii="宋体" w:hAnsi="宋体"/>
          <w:sz w:val="16"/>
        </w:rPr>
        <w:t>[2]  |  ✅  |  中国人民银行定期发布贷款投向统计报告，有制度保障</w:t>
      </w:r>
    </w:p>
    <w:p>
      <w:pPr>
        <w:ind w:left="288"/>
      </w:pPr>
      <w:r>
        <w:rPr>
          <w:rFonts w:ascii="宋体" w:hAnsi="宋体"/>
          <w:sz w:val="16"/>
        </w:rPr>
        <w:t>[3]  |  ✅  |  黄达《金融学》第5版是广泛使用的教材</w:t>
      </w:r>
    </w:p>
    <w:p>
      <w:pPr>
        <w:ind w:left="288"/>
      </w:pPr>
      <w:r>
        <w:rPr>
          <w:rFonts w:ascii="宋体" w:hAnsi="宋体"/>
          <w:sz w:val="16"/>
        </w:rPr>
        <w:t>[4]  |  ✅  |  NFSC论文为作者已投稿件</w:t>
      </w:r>
    </w:p>
    <w:p>
      <w:pPr>
        <w:ind w:left="288"/>
      </w:pPr>
      <w:r>
        <w:rPr>
          <w:rFonts w:ascii="宋体" w:hAnsi="宋体"/>
          <w:sz w:val="16"/>
        </w:rPr>
        <w:t>[5]  |  ✅  |  作者已公开的网络文学作品</w:t>
      </w:r>
    </w:p>
    <w:p>
      <w:pPr>
        <w:ind w:left="288"/>
      </w:pPr>
      <w:r>
        <w:rPr>
          <w:rFonts w:ascii="宋体" w:hAnsi="宋体"/>
          <w:sz w:val="16"/>
        </w:rPr>
        <w:t>[6]-[13]  |  ✅  |  均为国际/国内公认的经典学术著作/标准文献</w:t>
      </w:r>
    </w:p>
    <w:p>
      <w:pPr>
        <w:ind w:left="288"/>
      </w:pPr>
      <w:r>
        <w:rPr>
          <w:rFonts w:ascii="宋体" w:hAnsi="宋体"/>
          <w:sz w:val="16"/>
        </w:rPr>
        <w:t>[14]-[16]  |  ⚠  |  绿色金融中文文献——作者和期刊真实，但**需逐条在CNKI中验证标题、卷期、页码的一致性**</w:t>
      </w:r>
    </w:p>
    <w:p>
      <w:pPr>
        <w:ind w:left="288"/>
      </w:pPr>
      <w:r>
        <w:rPr>
          <w:rFonts w:ascii="宋体" w:hAnsi="宋体"/>
          <w:sz w:val="16"/>
        </w:rPr>
        <w:t>[17]-[18]  |  ✅  |  经典学术著作</w:t>
      </w:r>
    </w:p>
    <w:p>
      <w:pPr>
        <w:ind w:left="288"/>
      </w:pPr>
      <w:r>
        <w:rPr>
          <w:b/>
        </w:rPr>
        <w:t>投稿前必做：[14]-[16] 需在中国知网逐条检索确认——输入作者+期刊+年份，验证论文是否存在、标题是否一致、卷期页码是否正确。如核实不通过，替换为已确认的绿色金融文献。</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4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