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Teaching Reform of Finance Course toward the Dual-Carbon Goals</w:t>
      </w:r>
    </w:p>
    <w:p>
      <w:pPr>
        <w:jc w:val="center"/>
      </w:pPr>
      <w:r>
        <w:rPr>
          <w:b/>
          <w:sz w:val="28"/>
        </w:rPr>
        <w:t>A Migration Study of the NFSC Four-Dimensional Framework in Green Output Chain</w:t>
      </w:r>
    </w:p>
    <w:p>
      <w:r>
        <w:rPr>
          <w:i/>
          <w:sz w:val="20"/>
        </w:rPr>
        <w:t>Jingwei Zhang¹\, Qing Sun²</w:t>
      </w:r>
    </w:p>
    <w:p>
      <w:pPr>
        <w:ind w:firstLine="432"/>
      </w:pPr>
      <w:r>
        <w:t>1. Chengdu Ginkgo Hotel Management College, Chengdu 611743, China</w:t>
      </w:r>
    </w:p>
    <w:p>
      <w:pPr>
        <w:ind w:firstLine="432"/>
      </w:pPr>
      <w:r>
        <w:t>2. College of Architecture and Civil Engineering, Chengdu University, Chengdu 610106, China</w:t>
      </w:r>
    </w:p>
    <w:p>
      <w:pPr>
        <w:ind w:firstLine="432"/>
      </w:pPr>
      <w:r>
        <w:t>\* Corresponding author</w:t>
      </w:r>
    </w:p>
    <w:p>
      <w:r>
        <w:rPr>
          <w:b/>
          <w:sz w:val="20"/>
        </w:rPr>
        <w:t>Abstract</w:t>
      </w:r>
    </w:p>
    <w:p>
      <w:pPr>
        <w:ind w:firstLine="432"/>
      </w:pPr>
      <w:r>
        <w:t>China's carbon trading market surpassed RMB 240 billion in cumulative transaction value by late 2023, while green credit balances exceeded RMB 30 trillion. These numbers create a practical demand that undergraduate finance courses have yet to meet: future financial professionals must understand how carbon prices, ESG ratings, and green policy incentives affect lending, valuation, and investment decisions. This paper reports a cross-disciplinary migration of the Narrative-Framework-Scenario-Creation (NFSC) four-dimensional teaching method from engineering education to an undergraduate finance course. We construct a "Green Output Chain"—a progressive cognitive pathway mapping NFSC dimensions to green finance content through green event narratives (Narrative), a five-dimension diagnostic framework (Framework), a green credit approval simulation (Scenario), and green financing plan design (Creation). A 12-hour green finance module was delivered to 48 accounting majors at Chengdu Ginkgo Hotel Management College. Student accuracy in applying three or more framework dimensions rose from 55% at baseline to 91% after practice. Among three output tracks, 61.9% of students chose financing plan design, reflecting accounting students' analytical disposition. The Scenario dimension received the highest impact rating (4.5/5.0). A four-element migration mechanism—narrative replacement, framework remapping, scenario type conversion, and output adaptation—is proposed to explain how NFSC preserves structural integrity while enabling domain-specific content re-localization.</w:t>
      </w:r>
    </w:p>
    <w:p>
      <w:r>
        <w:rPr>
          <w:i/>
        </w:rPr>
        <w:t xml:space="preserve">Keywords: </w:t>
      </w:r>
      <w:r>
        <w:t>NFSC teaching method; green output chain; finance education reform; cross-disciplinary migration; dual-carbon goals</w:t>
      </w:r>
    </w:p>
    <w:p>
      <w:pPr>
        <w:pStyle w:val="Heading2"/>
      </w:pPr>
      <w:r>
        <w:rPr>
          <w:sz w:val="24"/>
        </w:rPr>
        <w:t>1 Introduction</w:t>
      </w:r>
    </w:p>
    <w:p>
      <w:pPr>
        <w:ind w:firstLine="432"/>
      </w:pPr>
      <w:r>
        <w:t>By the end of 2023, China's national carbon emission trading market had accumulated over RMB 240 billion in transactions [1]. Green credit balances had surpassed RMB 30 trillion [2]. ESG investing had shifted from a niche concern to a mainstream investment criterion. These figures represent more than economic data points—they signal a structural change in what financial professionals must know.</w:t>
      </w:r>
    </w:p>
    <w:p>
      <w:pPr>
        <w:ind w:firstLine="432"/>
      </w:pPr>
      <w:r>
        <w:t>The gap between this demand and current undergraduate finance instruction is measurable. The dominant textbook structure—money, credit, interest rates, markets, instruments, regulation—treats green finance as a terminal chapter, often skipped under time pressure [3]. Students who can recite the CAPM formula cannot explain why a carbon allowance price drop of RMB 10 per ton might trigger a loan covenant breach at a biomass power plant. Students who can run a discounted cash flow model cannot articulate why Ningde Times (CATL) secured a green bond coupon rate approximately 50 basis points below its conventional borrowing cost in 2021.</w:t>
      </w:r>
    </w:p>
    <w:p>
      <w:pPr>
        <w:ind w:firstLine="432"/>
      </w:pPr>
      <w:r>
        <w:t>Huang, Xie, and Sun [4] proposed the Narrative-Framework-Scenario-Creation (NFSC) four-dimensional teaching method in an engineering education setting. The method uses documentary novel excerpts as narrative triggers (Narrative), mismatch-repair diagnostic matrices as analytical tools (Framework), role-playing simulations for skill application (Scenario), and a three-track creative output system for knowledge transformation (Creation). In their discussion, the authors asked whether NFSC could migrate to other disciplines, identifying three preconditions: a narratable material repository, an abstractable knowledge framework, and instructor capacity for scenario design. But no actual cross-disciplinary migration was reported.</w:t>
      </w:r>
    </w:p>
    <w:p>
      <w:pPr>
        <w:ind w:firstLine="432"/>
      </w:pPr>
      <w:r>
        <w:t>Our study answers that open question. We migrated NFSC to an undergraduate finance course by constructing a "Green Output Chain" concept that systematically maps the four dimensions to green finance content. We implemented a 12-hour green finance module for 48 accounting majors and tracked student framework usage before and after instruction. Based on the migration data, we propose a four-element migration mechanism model.</w:t>
      </w:r>
    </w:p>
    <w:p>
      <w:pPr>
        <w:ind w:firstLine="432"/>
      </w:pPr>
      <w:r>
        <w:t>Our contributions are: (1) the first complete cross-disciplinary NFSC migration empirical study beyond engineering; (2) the Green Output Chain concept as a structured coupling mechanism between NFSC and non-engineering disciplines; and (3) a generalizable four-element migration mechanism model.</w:t>
      </w:r>
    </w:p>
    <w:p>
      <w:pPr>
        <w:pStyle w:val="Heading2"/>
      </w:pPr>
      <w:r>
        <w:rPr>
          <w:sz w:val="24"/>
        </w:rPr>
        <w:t>2 Methodology: NFSC Migration and Green Output Chain Design</w:t>
      </w:r>
    </w:p>
    <w:p>
      <w:pPr>
        <w:pStyle w:val="Heading3"/>
      </w:pPr>
      <w:r>
        <w:rPr>
          <w:sz w:val="22"/>
        </w:rPr>
        <w:t>2.1 The NFSC Framework</w:t>
      </w:r>
    </w:p>
    <w:p>
      <w:pPr>
        <w:ind w:firstLine="432"/>
      </w:pPr>
      <w:r>
        <w:t xml:space="preserve">The NFSC method partitions cognitive progression into four dimensions [4]. </w:t>
      </w:r>
      <w:r>
        <w:rPr>
          <w:b/>
        </w:rPr>
        <w:t>Narrative</w:t>
      </w:r>
      <w:r>
        <w:t xml:space="preserve"> triggers motivation through authentic storytelling—in the prototype engineering course, this meant documentary novel excerpts depicting landfill site disputes, incinerator controversies, and community NIMBY protests [5]. </w:t>
      </w:r>
      <w:r>
        <w:rPr>
          <w:b/>
        </w:rPr>
        <w:t>Framework</w:t>
      </w:r>
      <w:r>
        <w:t xml:space="preserve"> equips learners with diagnostic tools—the prototype used a six-dimension mismatch-repair matrix spanning spatial, technological, behavioral, humanistic, temporal, and informational mismatches. </w:t>
      </w:r>
      <w:r>
        <w:rPr>
          <w:b/>
        </w:rPr>
        <w:t>Scenario</w:t>
      </w:r>
      <w:r>
        <w:t xml:space="preserve"> forges capabilities through role-playing—environmental impact assessment hearings, moot courts, and site selection public hearings. </w:t>
      </w:r>
      <w:r>
        <w:rPr>
          <w:b/>
        </w:rPr>
        <w:t>Creation</w:t>
      </w:r>
      <w:r>
        <w:t xml:space="preserve"> transforms knowledge through a three-track output system: academic paper, course design project, and pedagogical reform essay. The four dimensions follow Bloom's cognitive taxonomy from remembering and understanding (Narrative) through applying and analyzing (Framework) and evaluating (Scenario) to creating (Creation) [6].</w:t>
      </w:r>
    </w:p>
    <w:p>
      <w:pPr>
        <w:pStyle w:val="Heading3"/>
      </w:pPr>
      <w:r>
        <w:rPr>
          <w:sz w:val="22"/>
        </w:rPr>
        <w:t>2.2 The Green Output Chain</w:t>
      </w:r>
    </w:p>
    <w:p>
      <w:pPr>
        <w:ind w:firstLine="432"/>
      </w:pPr>
      <w:r>
        <w:t>We define the Green Output Chain as the progressive sequence of learning outputs from mapping NFSC dimensions onto green finance content. Using "green" as thematic qualifier, each NFSC dimension produces a specific, assessable learning output. Table 1 provides the complete migration mapping.</w:t>
      </w:r>
    </w:p>
    <w:p>
      <w:pPr>
        <w:jc w:val="center"/>
      </w:pPr>
      <w:r>
        <w:rPr>
          <w:b/>
          <w:sz w:val="18"/>
        </w:rPr>
        <w:t>Table 1. NFSC Four-Dimensional Migration Mapping: Environmental Engineering to Green Output Chain</w:t>
      </w:r>
    </w:p>
    <w:p>
      <w:pPr>
        <w:ind w:left="216"/>
      </w:pPr>
      <w:r>
        <w:rPr>
          <w:sz w:val="15"/>
        </w:rPr>
        <w:t>NFSC Dimension  |  Engineering Prototype [4]  |  Green Output Chain  |  Migration Adjustment</w:t>
      </w:r>
    </w:p>
    <w:p>
      <w:pPr>
        <w:ind w:left="216"/>
      </w:pPr>
      <w:r>
        <w:rPr>
          <w:sz w:val="15"/>
        </w:rPr>
        <w:t>**Narrative**  |  Documentary novel excerpts (landfill externalities, incinerator siting, community protests)  |  Green finance event narratives (biomass plant carbon revenue shortfall, CATL green bond, wastewater plant carbon quota undervaluation)  |  Source material shifted from engineering conflict narratives to financial dilemma narratives</w:t>
      </w:r>
    </w:p>
    <w:p>
      <w:pPr>
        <w:ind w:left="216"/>
      </w:pPr>
      <w:r>
        <w:rPr>
          <w:sz w:val="15"/>
        </w:rPr>
        <w:t>**Framework**  |  Six-dimension mismatch-repair (spatial, technological, behavioral, humanistic, temporal, informational)  |  Five-dimension green finance diagnostic framework (financing accessibility, carbon asset valuation, policy incentive transmission, environmental disclosure, maturity-liquidity matching)  |  Framework reconstructed from spatial-social diagnosis to financial dimension diagnosis</w:t>
      </w:r>
    </w:p>
    <w:p>
      <w:pPr>
        <w:ind w:left="216"/>
      </w:pPr>
      <w:r>
        <w:rPr>
          <w:sz w:val="15"/>
        </w:rPr>
        <w:t>**Scenario**  |  EIA hearings, moot courts, site selection hearings  |  Green credit approval simulation, carbon trading decision simulation  |  Scenario converted from engineering decision-making to financial decision-making</w:t>
      </w:r>
    </w:p>
    <w:p>
      <w:pPr>
        <w:ind w:left="216"/>
      </w:pPr>
      <w:r>
        <w:rPr>
          <w:sz w:val="15"/>
        </w:rPr>
        <w:t>**Creation**  |  Three-track (academic paper, course design, pedagogical essay)  |  Three-track (research report, financing plan, teaching reflection)  |  Output type adapted to accounting students' analytical writing disposition</w:t>
      </w:r>
    </w:p>
    <w:p>
      <w:pPr>
        <w:ind w:firstLine="432"/>
      </w:pPr>
      <w:r>
        <w:t>The formal structure of NFSC—the four-dimension progressive logic—remains invariant during migration. The domain-specific content—material type, framework dimensions, scenario design, output forms—undergoes re-localization for the target discipline.</w:t>
      </w:r>
    </w:p>
    <w:p>
      <w:pPr>
        <w:pStyle w:val="Heading3"/>
      </w:pPr>
      <w:r>
        <w:rPr>
          <w:sz w:val="22"/>
        </w:rPr>
        <w:t>2.3 Five-Dimension Green Finance Diagnostic Framework</w:t>
      </w:r>
    </w:p>
    <w:p>
      <w:pPr>
        <w:ind w:firstLine="432"/>
      </w:pPr>
      <w:r>
        <w:t>The Framework dimension was operationalized through a five-dimension diagnostic framework that adapts standard financial analytical tools to green finance questions (Table 2).</w:t>
      </w:r>
    </w:p>
    <w:p>
      <w:pPr>
        <w:jc w:val="center"/>
      </w:pPr>
      <w:r>
        <w:rPr>
          <w:b/>
          <w:sz w:val="18"/>
        </w:rPr>
        <w:t>Table 2. Five-Dimension Green Finance Diagnostic Framework</w:t>
      </w:r>
    </w:p>
    <w:p>
      <w:pPr>
        <w:ind w:left="216"/>
      </w:pPr>
      <w:r>
        <w:rPr>
          <w:sz w:val="15"/>
        </w:rPr>
        <w:t>Dimension  |  Core Question  |  Key Indicators  |  Analytical Tools  |  Case Illustration</w:t>
      </w:r>
    </w:p>
    <w:p>
      <w:pPr>
        <w:ind w:left="216"/>
      </w:pPr>
      <w:r>
        <w:rPr>
          <w:sz w:val="15"/>
        </w:rPr>
        <w:t>Financing Accessibility  |  Can a green project obtain adequate and reasonably priced capital?  |  Debt ratio &lt; 70%; credit line/investment &gt; 1.2; green vs. conventional loan spread  |  *DuPont analysis*, *Discounted Cash Flow (DCF)*  |  CATL 2021 green bond: AAA-rated, 3.28% coupon, ~50bp below comparable conventional bonds</w:t>
      </w:r>
    </w:p>
    <w:p>
      <w:pPr>
        <w:ind w:left="216"/>
      </w:pPr>
      <w:r>
        <w:rPr>
          <w:sz w:val="15"/>
        </w:rPr>
        <w:t>Carbon Asset Valuation  |  Are emission allowances and related green assets priced correctly?  |  Allowance price/marginal abatement cost ratio; carbon assets/total assets  |  *DCF valuation*, *Real options approach*  |  China national CEA: 55-65 CNY/ton range during 2023; intra-year volatility of ~18%</w:t>
      </w:r>
    </w:p>
    <w:p>
      <w:pPr>
        <w:ind w:left="216"/>
      </w:pPr>
      <w:r>
        <w:rPr>
          <w:sz w:val="15"/>
        </w:rPr>
        <w:t>Policy Incentive Transmission  |  Do policy preferences effectively reach project financials?  |  Tax relief/revenue; interest subsidy/financial expense; actual vs. eligible benefits  |  *Sensitivity analysis*, *Scenario simulation*  |  Green loan interest subsidies estimated at RMB 120 billion cumulative (2018-2023) [2]</w:t>
      </w:r>
    </w:p>
    <w:p>
      <w:pPr>
        <w:ind w:left="216"/>
      </w:pPr>
      <w:r>
        <w:rPr>
          <w:sz w:val="15"/>
        </w:rPr>
        <w:t>Environmental Disclosure  |  Does environmental data transparency affect financing costs?  |  ESG rating tier; disclosure completeness index; third-party audit coverage  |  *Regression analysis*, *Event study*  |  Each one-notch ESG rating upgrade associated with ~30bp reduction in corporate financing cost [7]</w:t>
      </w:r>
    </w:p>
    <w:p>
      <w:pPr>
        <w:ind w:left="216"/>
      </w:pPr>
      <w:r>
        <w:rPr>
          <w:sz w:val="15"/>
        </w:rPr>
        <w:t>Maturity-Liquidity Matching  |  Does the long-term nature of green projects align with financial instrument maturity?  |  Current ratio &gt; 1.5; payback period/loan term; long-term/short-term debt split  |  *Cash flow matching*, *Duration analysis*  |  Typical solar farm: 8-12 year payback vs. 5-10 year green loan maximum tenor—2 to 3 year gap</w:t>
      </w:r>
    </w:p>
    <w:p>
      <w:pPr>
        <w:ind w:firstLine="432"/>
      </w:pPr>
      <w:r>
        <w:t>The five dimensions interact: financing accessibility depends jointly on carbon asset valuation and policy incentive transmission; environmental disclosure quality affects both accessibility and valuation.</w:t>
      </w:r>
    </w:p>
    <w:p>
      <w:pPr>
        <w:pStyle w:val="Heading3"/>
      </w:pPr>
      <w:r>
        <w:rPr>
          <w:sz w:val="22"/>
        </w:rPr>
        <w:t>2.4 Course Context</w:t>
      </w:r>
    </w:p>
    <w:p>
      <w:pPr>
        <w:ind w:firstLine="432"/>
      </w:pPr>
      <w:r>
        <w:t>*Finance* is a core foundation course for accounting majors at Chengdu Ginkgo Hotel Management College (48 contact hours, Huang &amp; Zhang [3] textbook). The study cohort—2023 cohort Class 6 (n = 48)—had completed Fundamental Accounting and Microeconomics. A diagnostic survey at course onset confirmed that student familiarity with green finance was limited to name recognition.</w:t>
      </w:r>
    </w:p>
    <w:p>
      <w:pPr>
        <w:ind w:firstLine="432"/>
      </w:pPr>
      <w:r>
        <w:t>The green finance module occupied weeks 10 through 13 (12 contact hours, 25% of total). Allocation: Narrative 2h, Framework 4h, Scenario 4h, Creation 2h. Module objectives required students to: (1) analyze a green enterprise financing proposal using three or more diagnostic dimensions; (2) make framework-supported decisions in a simulated green credit approval scenario; and (3) independently produce a green financing plan or research report.</w:t>
      </w:r>
    </w:p>
    <w:p>
      <w:pPr>
        <w:pStyle w:val="Heading2"/>
      </w:pPr>
      <w:r>
        <w:rPr>
          <w:sz w:val="24"/>
        </w:rPr>
        <w:t>3 Implementation and Results</w:t>
      </w:r>
    </w:p>
    <w:p>
      <w:pPr>
        <w:pStyle w:val="Heading3"/>
      </w:pPr>
      <w:r>
        <w:rPr>
          <w:sz w:val="22"/>
        </w:rPr>
        <w:t>3.1 Module Delivery</w:t>
      </w:r>
    </w:p>
    <w:p>
      <w:pPr>
        <w:ind w:firstLine="432"/>
      </w:pPr>
      <w:r/>
      <w:r>
        <w:rPr>
          <w:b/>
        </w:rPr>
        <w:t>Narrative (Week 10).</w:t>
      </w:r>
      <w:r>
        <w:t xml:space="preserve"> Three narrative texts were distributed via course WeChat group before class: (a) a Shandong biomass power plant that faced early loan recall when carbon allowance prices dropped below operational breakeven, shrinking annual carbon revenue by approximately RMB 4 million (adapted from a 36Kr industry report); (b) CATL's RMB 5 billion green medium-term note offering circular (abridged); (c) a Jiangsu wastewater treatment plant that lost about RMB 3 million in carbon trading revenue due to undervalued emission allowances. Each text carried three guided questions. The first 20 minutes of class were devoted to extracting the academic problem—"how does carbon revenue volatility affect financing accessibility?"—from the visceral narrative of a clean-energy plant facing default.</w:t>
      </w:r>
    </w:p>
    <w:p>
      <w:pPr>
        <w:ind w:firstLine="432"/>
      </w:pPr>
      <w:r/>
      <w:r>
        <w:rPr>
          <w:b/>
        </w:rPr>
        <w:t>Framework (Weeks 11-12).</w:t>
      </w:r>
      <w:r>
        <w:t xml:space="preserve"> The instructor introduced the five-dimension framework (Table 2). The initial exercise required students to analyze a photovoltaic equipment manufacturer seeking RMB 50 million in green technology upgrade financing. Baseline accuracy—defined as correctly applying three or more of five dimensions—was 55% (24 of 44 students attempting). After two additional guided practice sessions with three more cases, the end-of-week-12 re-test showed 91% accuracy (38 of 42 students).</w:t>
      </w:r>
    </w:p>
    <w:p>
      <w:pPr>
        <w:ind w:firstLine="432"/>
      </w:pPr>
      <w:r/>
      <w:r>
        <w:rPr>
          <w:b/>
        </w:rPr>
        <w:t>Scenario (Week 13).</w:t>
      </w:r>
      <w:r>
        <w:t xml:space="preserve"> The class split into four role groups: corporate CFO team (9 students, arguing project feasibility and green credentials), bank credit review team (9 students, using the five-dimension framework for risk assessment), third-party environmental auditor team (9 students, verifying carbon data and green label authenticity), and observer team (remaining students, recording framework usage patterns). Each team had 20 minutes for preparation, followed by a 30-minute open inquiry session. The instructor did not prescribe whether the loan should be approved or rejected—the outcome depended on argument quality.</w:t>
      </w:r>
    </w:p>
    <w:p>
      <w:pPr>
        <w:ind w:firstLine="432"/>
      </w:pPr>
      <w:r/>
      <w:r>
        <w:rPr>
          <w:b/>
        </w:rPr>
        <w:t>Creation (Weeks 14-16).</w:t>
      </w:r>
      <w:r>
        <w:t xml:space="preserve"> Students chose from three output tracks, all requiring explicit application of three or more diagnostic dimensions with dimension labeling: Track A (green bond/ESG fund research report), Track B (green financing plan for a real listed company), and Track C (teaching reflection on personal learning experience in the module).</w:t>
      </w:r>
    </w:p>
    <w:p>
      <w:pPr>
        <w:pStyle w:val="Heading3"/>
      </w:pPr>
      <w:r>
        <w:rPr>
          <w:sz w:val="22"/>
        </w:rPr>
        <w:t>3.2 Student Outputs</w:t>
      </w:r>
    </w:p>
    <w:p>
      <w:pPr>
        <w:ind w:firstLine="432"/>
      </w:pPr>
      <w:r>
        <w:t>Of 48 enrolled students, 42 completed all four stages (six absent due to illness or scheduling). The three-track distribution appears in Figure 3: Track A 26.2% (11 students), Track B 61.9% (26 students), Track C 11.9% (5 students). The 61.9% share for Track B contrasts with the engineering prototype's distribution (paper 40%, design 35%, pedagogical essay 25%) reported in [4], suggesting output track preferences correlate with discipline-specific cognitive styles.</w:t>
      </w:r>
    </w:p>
    <w:p>
      <w:pPr>
        <w:ind w:firstLine="432"/>
      </w:pPr>
      <w:r>
        <w:t>Framework usage accuracy (Figure 2) showed measurable improvement: 55% baseline (Week 11, n = 44) to 91% post-practice (Week 12, n = 42). The carbon asset valuation dimension appeared most frequently in student outputs (92% of Track B reports), followed by policy incentive transmission (81%). Eight students (18%) spontaneously proposed dimensions beyond the prescribed five—international carbon tariff risk (4 students) and technology iteration risk (3 students). Huang et al. [4] identify such spontaneous framework extension as a Creation-dimension indicator.</w:t>
      </w:r>
    </w:p>
    <w:p>
      <w:pPr>
        <w:pStyle w:val="Heading3"/>
      </w:pPr>
      <w:r>
        <w:rPr>
          <w:sz w:val="22"/>
        </w:rPr>
        <w:t>3.3 Student Feedback</w:t>
      </w:r>
    </w:p>
    <w:p>
      <w:pPr>
        <w:ind w:firstLine="432"/>
      </w:pPr>
      <w:r>
        <w:t>An anonymous post-module survey (36 responses, 75% response rate) yielded the results in Table 3.</w:t>
      </w:r>
    </w:p>
    <w:p>
      <w:pPr>
        <w:jc w:val="center"/>
      </w:pPr>
      <w:r>
        <w:rPr>
          <w:b/>
          <w:sz w:val="18"/>
        </w:rPr>
        <w:t>Table 3. Student Perceived Learning Gains Across NFSC Dimensions (n = 36)</w:t>
      </w:r>
    </w:p>
    <w:p>
      <w:pPr>
        <w:ind w:left="216"/>
      </w:pPr>
      <w:r>
        <w:rPr>
          <w:sz w:val="15"/>
        </w:rPr>
        <w:t>NFSC Dimension  |  Mean Rating (1-5)  |  "Most Impactful" Votes  |  Representative Student Comment</w:t>
      </w:r>
    </w:p>
    <w:p>
      <w:pPr>
        <w:ind w:left="216"/>
      </w:pPr>
      <w:r>
        <w:rPr>
          <w:sz w:val="15"/>
        </w:rPr>
        <w:t>Narrative  |  4.2  |  10 (27.8%)  |  "The biomass plant story made carbon prices tangible—they can shut down a factory."</w:t>
      </w:r>
    </w:p>
    <w:p>
      <w:pPr>
        <w:ind w:left="216"/>
      </w:pPr>
      <w:r>
        <w:rPr>
          <w:sz w:val="15"/>
        </w:rPr>
        <w:t>Framework  |  3.9  |  6 (16.7%)  |  "The framework provides structure but I needed more practice to internalize all five dimensions."</w:t>
      </w:r>
    </w:p>
    <w:p>
      <w:pPr>
        <w:ind w:left="216"/>
      </w:pPr>
      <w:r>
        <w:rPr>
          <w:sz w:val="15"/>
        </w:rPr>
        <w:t>Scenario  |  4.5  |  15 (41.7%)  |  "When the CFO argued their case, I had to counter using specific framework dimensions. That pressure made the framework real."</w:t>
      </w:r>
    </w:p>
    <w:p>
      <w:pPr>
        <w:ind w:left="216"/>
      </w:pPr>
      <w:r>
        <w:rPr>
          <w:sz w:val="15"/>
        </w:rPr>
        <w:t>Creation  |  4.0  |  5 (13.9%)  |  "Choosing my own company for the financing plan made me actually care about the analysis."</w:t>
      </w:r>
    </w:p>
    <w:p>
      <w:pPr>
        <w:ind w:firstLine="432"/>
      </w:pPr>
      <w:r>
        <w:t>Scenario received the highest impact rating (4.5/5.0, 41.7% naming it most impactful), consistent with [4]'s finding that students consistently rank scenario immersion as the most memorable component. A Track B student noted: "Before, loan figures on financial statements were just numbers. Now I know behind them are carbon quota prices, policy subsidies, ESG ratings—they are not dead digits."</w:t>
      </w:r>
    </w:p>
    <w:p>
      <w:pPr>
        <w:ind w:firstLine="432"/>
      </w:pPr>
      <w:r>
        <w:t>Limitations include the 75% survey response rate (potential non-response bias), single-section single-semester design, and absence of a parallel control group.</w:t>
      </w:r>
    </w:p>
    <w:p>
      <w:pPr>
        <w:pStyle w:val="Heading2"/>
      </w:pPr>
      <w:r>
        <w:rPr>
          <w:sz w:val="24"/>
        </w:rPr>
        <w:t>4 Discussion: Migration Mechanism</w:t>
      </w:r>
    </w:p>
    <w:p>
      <w:pPr>
        <w:pStyle w:val="Heading3"/>
      </w:pPr>
      <w:r>
        <w:rPr>
          <w:sz w:val="22"/>
        </w:rPr>
        <w:t>4.1 Four-Element Migration Model</w:t>
      </w:r>
    </w:p>
    <w:p>
      <w:pPr>
        <w:ind w:firstLine="432"/>
      </w:pPr>
      <w:r>
        <w:t>Based on the engineering-to-finance migration data, we propose that NFSC cross-disciplinary migration follows a four-element mechanism (Figure 1):</w:t>
      </w:r>
    </w:p>
    <w:p>
      <w:pPr>
        <w:ind w:firstLine="432"/>
      </w:pPr>
      <w:r>
        <w:t xml:space="preserve">1. </w:t>
      </w:r>
      <w:r>
        <w:rPr>
          <w:b/>
        </w:rPr>
        <w:t>Narrative replacement</w:t>
      </w:r>
      <w:r>
        <w:t>. Source material type shifts from engineering conflict narratives to the target discipline's narrative events. The replacement criterion: materials must contain authentic economic or social conflicts with emotional tension that can be abstracted into academic questions.</w:t>
      </w:r>
    </w:p>
    <w:p>
      <w:pPr>
        <w:ind w:firstLine="432"/>
      </w:pPr>
      <w:r>
        <w:t xml:space="preserve">2. </w:t>
      </w:r>
      <w:r>
        <w:rPr>
          <w:b/>
        </w:rPr>
        <w:t>Framework remapping</w:t>
      </w:r>
      <w:r>
        <w:t>. Diagnostic dimensions are reconstructed from the original discipline's framework to the target discipline's knowledge framework. The remapping criterion: each dimension must be operable, independently assessable, and verifiable within simulated scenarios.</w:t>
      </w:r>
    </w:p>
    <w:p>
      <w:pPr>
        <w:ind w:firstLine="432"/>
      </w:pPr>
      <w:r>
        <w:t xml:space="preserve">3. </w:t>
      </w:r>
      <w:r>
        <w:rPr>
          <w:b/>
        </w:rPr>
        <w:t>Scenario type conversion</w:t>
      </w:r>
      <w:r>
        <w:t>. Simulation type converts from engineering decision-making to the target discipline's prototypical professional decision scenario. The conversion criterion: the scenario must involve multi-party interest conflict and information incompleteness.</w:t>
      </w:r>
    </w:p>
    <w:p>
      <w:pPr>
        <w:ind w:firstLine="432"/>
      </w:pPr>
      <w:r>
        <w:t xml:space="preserve">4. </w:t>
      </w:r>
      <w:r>
        <w:rPr>
          <w:b/>
        </w:rPr>
        <w:t>Output adaptation</w:t>
      </w:r>
      <w:r>
        <w:t>. Output types adjust to match the target discipline's student learning styles and academic level. The adaptation criterion: outputs must demonstrate framework application while allowing student autonomy in form selection.</w:t>
      </w:r>
    </w:p>
    <w:p>
      <w:pPr>
        <w:ind w:firstLine="432"/>
      </w:pPr>
      <w:r>
        <w:t>The four elements operate sequentially on the four NFSC dimensions, jointly preserving structural integrity while enabling domain-specific content re-localization.</w:t>
      </w:r>
    </w:p>
    <w:p>
      <w:pPr>
        <w:pStyle w:val="Heading3"/>
      </w:pPr>
      <w:r>
        <w:rPr>
          <w:sz w:val="22"/>
        </w:rPr>
        <w:t>4.2 Dimension-Specific Adaptation</w:t>
      </w:r>
    </w:p>
    <w:p>
      <w:pPr>
        <w:ind w:firstLine="432"/>
      </w:pPr>
      <w:r>
        <w:t>Among the four NFSC dimensions, adaptation fit varies. Narrative shows the highest fit—financial history is rich with narrative material (the 2008 subprime crisis, 2020 negative interest rates, the 2023 Silicon Valley Bank run). Framework shows high fit—standard financial tools (*DuPont analysis*, *DCF*, *duration matching*) can be remapped as diagnostic dimensions with minimal restructuring. Scenario shows medium-to-high fit—business education already uses case methods and trading simulations; NFSC adds structured role cards and explicit framework guidance. Creation shows the highest fit—finance education is inherently oriented toward producing decision proposals. Overall, all four dimensions in the finance course exhibit adaptation quality at least comparable to the engineering prototype, with Narrative and Creation performing better—attributable to the narrative density of financial history and the decision-oriented nature of finance.</w:t>
      </w:r>
    </w:p>
    <w:p>
      <w:pPr>
        <w:pStyle w:val="Heading3"/>
      </w:pPr>
      <w:r>
        <w:rPr>
          <w:sz w:val="22"/>
        </w:rPr>
        <w:t>4.3 Implications for Engineering Education</w:t>
      </w:r>
    </w:p>
    <w:p>
      <w:pPr>
        <w:ind w:firstLine="432"/>
      </w:pPr>
      <w:r>
        <w:t>The cross-disciplinary migration reported here offers bidirectional value. Forward: the successful migration demonstrates that NFSC core mechanisms—four-dimension progression, event-bus architecture, three-track output—do not depend on specific disciplinary content, suggesting generalizability. This provides engineering education reformers with a "methodological export" pathway. Reverse: simulation design practices from finance (green credit committees, carbon trading floors) can feed back into engineering education—for example, embedding an "incinerator plant BOT project financing" scenario in environmental engineering courses to help students grasp the financial consequences of technical decisions, directly supporting accreditation criteria on engineering and society [8] and sustainable development [9].</w:t>
      </w:r>
    </w:p>
    <w:p>
      <w:pPr>
        <w:pStyle w:val="Heading2"/>
      </w:pPr>
      <w:r>
        <w:rPr>
          <w:sz w:val="24"/>
        </w:rPr>
        <w:t>5 Conclusion</w:t>
      </w:r>
    </w:p>
    <w:p>
      <w:pPr>
        <w:ind w:firstLine="432"/>
      </w:pPr>
      <w:r>
        <w:t>This study provides the first complete cross-disciplinary migration empirical evidence for the NFSC teaching method.</w:t>
      </w:r>
    </w:p>
    <w:p>
      <w:pPr>
        <w:ind w:firstLine="432"/>
      </w:pPr>
      <w:r>
        <w:t>(1) The migration from environmental engineering to an undergraduate finance course is viable. Student framework accuracy improved from 55% to 91% after practice. The Scenario dimension received the highest impact rating (4.5/5.0, 41.7% of respondents).</w:t>
      </w:r>
    </w:p>
    <w:p>
      <w:pPr>
        <w:ind w:firstLine="432"/>
      </w:pPr>
      <w:r>
        <w:t>(2) The Green Output Chain concept provides a structured pathway for coupling NFSC with non-engineering disciplines—using green as thematic qualifier to map NFSC dimensions into progressively sequenced, assessable learning outputs.</w:t>
      </w:r>
    </w:p>
    <w:p>
      <w:pPr>
        <w:ind w:firstLine="432"/>
      </w:pPr>
      <w:r>
        <w:t>(3) Cross-disciplinary migration follows a four-element mechanism: narrative replacement, framework remapping, scenario type conversion, and output adaptation. This model provides an actionable guide for future NFSC migration to law, management, and teacher education.</w:t>
      </w:r>
    </w:p>
    <w:p>
      <w:pPr>
        <w:ind w:firstLine="432"/>
      </w:pPr>
      <w:r>
        <w:t>Key limitations include single-section single-semester scale, a non-randomized design, and 75% survey response rate. Future work should pursue multi-iteration longitudinal tracking, horizontal expansion to other business disciplines, and randomized controlled comparisons between NFSC-based and conventional delivery of the same green finance content.</w:t>
      </w:r>
    </w:p>
    <w:p>
      <w:r>
        <w:rPr>
          <w:b/>
          <w:sz w:val="20"/>
        </w:rPr>
        <w:t>Author Contributions (CRediT)</w:t>
      </w:r>
    </w:p>
    <w:p>
      <w:pPr>
        <w:ind w:firstLine="432"/>
      </w:pPr>
      <w:r>
        <w:t>Jingwei Zhang: Conceptualization, Methodology, Teaching Implementation, Data Collection, Writing – Original Draft. Qing Sun: NFSC Methodology Consultation, Writing – Review and Editing, Supervision.</w:t>
      </w:r>
    </w:p>
    <w:p>
      <w:r>
        <w:rPr>
          <w:b/>
          <w:sz w:val="20"/>
        </w:rPr>
        <w:t>Declaration of Interest</w:t>
      </w:r>
    </w:p>
    <w:p>
      <w:pPr>
        <w:ind w:firstLine="432"/>
      </w:pPr>
      <w:r>
        <w:t>The authors declare no competing interests.</w:t>
      </w:r>
    </w:p>
    <w:p>
      <w:r>
        <w:rPr>
          <w:b/>
          <w:sz w:val="20"/>
        </w:rPr>
        <w:t>Data Availability</w:t>
      </w:r>
    </w:p>
    <w:p>
      <w:pPr>
        <w:ind w:firstLine="432"/>
      </w:pPr>
      <w:r>
        <w:t>The student feedback data supporting this study are available from the corresponding author upon reasonable request, subject to institutional ethics approval.</w:t>
      </w:r>
    </w:p>
    <w:p>
      <w:r>
        <w:rPr>
          <w:b/>
          <w:sz w:val="20"/>
        </w:rPr>
        <w:t>Ethics Statement</w:t>
      </w:r>
    </w:p>
    <w:p>
      <w:pPr>
        <w:ind w:firstLine="432"/>
      </w:pPr>
      <w:r>
        <w:t>This study was conducted in accordance with institutional teaching research ethics guidelines. All student survey responses were collected anonymously, and participation was voluntary.</w:t>
      </w:r>
    </w:p>
    <w:p>
      <w:pPr>
        <w:pStyle w:val="Heading1"/>
      </w:pPr>
      <w:r>
        <w:rPr>
          <w:sz w:val="24"/>
        </w:rPr>
        <w:t>References</w:t>
      </w:r>
    </w:p>
    <w:p>
      <w:pPr>
        <w:ind w:left="432"/>
      </w:pPr>
      <w:r>
        <w:rPr>
          <w:sz w:val="18"/>
        </w:rPr>
        <w:t>[1] Shanghai Environment and Energy Exchange. (2024). *National carbon emission trading market 2023 annual report*. Shanghai: SEEE.</w:t>
      </w:r>
    </w:p>
    <w:p>
      <w:pPr>
        <w:ind w:left="432"/>
      </w:pPr>
      <w:r>
        <w:rPr>
          <w:sz w:val="18"/>
        </w:rPr>
        <w:t>[2] People's Bank of China. (2024). *2023 financial institution loan orientation statistics report*. Beijing: PBC.</w:t>
      </w:r>
    </w:p>
    <w:p>
      <w:pPr>
        <w:ind w:left="432"/>
      </w:pPr>
      <w:r>
        <w:rPr>
          <w:sz w:val="18"/>
        </w:rPr>
        <w:t>[3] Huang, D., &amp; Zhang, J. (2020). *Finance* (5th ed.). Beijing: China Renmin University Press.</w:t>
      </w:r>
    </w:p>
    <w:p>
      <w:pPr>
        <w:ind w:left="432"/>
      </w:pPr>
      <w:r>
        <w:rPr>
          <w:sz w:val="18"/>
        </w:rPr>
        <w:t>[4] Huang, Z., Xie, Z., &amp; Sun, Q. (2025). The Narrative-Framework-Scenario-Creation four-dimensional teaching method in graduate engineering courses: A case study of Solid Waste Pollution Prevention and Control Technology. *Journal of Chengdu University (Natural Science Edition)*. [Manuscript submitted for publication]</w:t>
      </w:r>
    </w:p>
    <w:p>
      <w:pPr>
        <w:ind w:left="432"/>
      </w:pPr>
      <w:r>
        <w:rPr>
          <w:sz w:val="18"/>
        </w:rPr>
        <w:t>[5] Huang, Z. (2026). *Universal education consulting: Documentary network novel series* [M/OL]. QQ Reading / 17K Literature.</w:t>
      </w:r>
    </w:p>
    <w:p>
      <w:pPr>
        <w:ind w:left="432"/>
      </w:pPr>
      <w:r>
        <w:rPr>
          <w:sz w:val="18"/>
        </w:rPr>
        <w:t>[6] Anderson, L. W., &amp; Krathwohl, D. R. (Eds.). (2001). *A taxonomy for learning, teaching, and assessing: A revision of Bloom's taxonomy of educational objectives*. New York: Longman.</w:t>
      </w:r>
    </w:p>
    <w:p>
      <w:pPr>
        <w:ind w:left="432"/>
      </w:pPr>
      <w:r>
        <w:rPr>
          <w:sz w:val="18"/>
        </w:rPr>
        <w:t>[7] S&amp;P Global. (2023). *Sustainability yearbook 2023*. New York: S&amp;P Global.</w:t>
      </w:r>
    </w:p>
    <w:p>
      <w:pPr>
        <w:ind w:left="432"/>
      </w:pPr>
      <w:r>
        <w:rPr>
          <w:sz w:val="18"/>
        </w:rPr>
        <w:t>[8] Crawley, E. F., Malmqvist, J., Östlund, S., Brodeur, D. R., &amp; Edström, K. (2014). *Rethinking engineering education: The CDIO approach* (2nd ed.). Cham: Springer.</w:t>
      </w:r>
    </w:p>
    <w:p>
      <w:pPr>
        <w:ind w:left="432"/>
      </w:pPr>
      <w:r>
        <w:rPr>
          <w:sz w:val="18"/>
        </w:rPr>
        <w:t>[9] Spady, W. G. (1994). *Outcome-based education: Critical issues and answers*. Arlington, VA: American Association of School Administrators.</w:t>
      </w:r>
    </w:p>
    <w:p>
      <w:pPr>
        <w:ind w:left="432"/>
      </w:pPr>
      <w:r>
        <w:rPr>
          <w:sz w:val="18"/>
        </w:rPr>
        <w:t>[10] Bruner, J. (1986). *Actual minds, possible worlds*. Cambridge, MA: Harvard University Press.</w:t>
      </w:r>
    </w:p>
    <w:p>
      <w:pPr>
        <w:ind w:left="432"/>
      </w:pPr>
      <w:r>
        <w:rPr>
          <w:sz w:val="18"/>
        </w:rPr>
        <w:t>[11] Lave, J., &amp; Wenger, E. (1991). *Situated learning: Legitimate peripheral participation*. Cambridge: Cambridge University Press.</w:t>
      </w:r>
    </w:p>
    <w:p>
      <w:pPr>
        <w:ind w:left="432"/>
      </w:pPr>
      <w:r>
        <w:rPr>
          <w:sz w:val="18"/>
        </w:rPr>
        <w:t>[12] Kolb, D. A. (2015). *Experiential learning: Experience as the source of learning and development* (2nd ed.). Upper Saddle River, NJ: Pearson.</w:t>
      </w:r>
    </w:p>
    <w:p>
      <w:pPr>
        <w:ind w:left="432"/>
      </w:pPr>
      <w:r>
        <w:rPr>
          <w:sz w:val="18"/>
        </w:rPr>
        <w:t>[13] Perkins, D. N. (1991). Technology meets constructivism: Do they make a marriage? *Educational Technology*, *31*(5), 18-23.</w:t>
      </w:r>
    </w:p>
    <w:p>
      <w:pPr>
        <w:ind w:left="432"/>
      </w:pPr>
      <w:r>
        <w:rPr>
          <w:sz w:val="18"/>
        </w:rPr>
        <w:t>[14] Intergovernmental Panel on Climate Change. (2022). *Climate change 2022: Mitigation of climate change. Working Group III contribution to the Sixth Assessment Report*. Cambridge: Cambridge University Press.</w:t>
      </w:r>
    </w:p>
    <w:p>
      <w:pPr>
        <w:ind w:left="432"/>
      </w:pPr>
      <w:r>
        <w:rPr>
          <w:sz w:val="18"/>
        </w:rPr>
        <w:t>[15] International Finance Corporation. (2017). *Green finance: A bottom-up approach to track existing flows*. Washington, DC: IFC.</w:t>
      </w:r>
    </w:p>
    <w:p>
      <w:pPr>
        <w:ind w:left="432"/>
      </w:pPr>
      <w:r>
        <w:rPr>
          <w:sz w:val="18"/>
        </w:rPr>
        <w:t>[16] World Bank. (2022). *State and trends of carbon pricing 2022*. Washington, DC: World Bank.</w:t>
      </w:r>
    </w:p>
    <w:p>
      <w:pPr>
        <w:ind w:left="432"/>
      </w:pPr>
      <w:r>
        <w:rPr>
          <w:sz w:val="18"/>
        </w:rPr>
        <w:t>[17] Li, Z. (2015). Outcome-based instructional design. *China University Teaching*, (3), 32-39.</w:t>
      </w:r>
    </w:p>
    <w:p>
      <w:pPr>
        <w:ind w:left="432"/>
      </w:pPr>
      <w:r>
        <w:rPr>
          <w:sz w:val="18"/>
        </w:rPr>
        <w:t>[18] China Engineering Education Accreditation Association. (2024). *Engineering education accreditation standards (2024 edition)*. Beijing: CEEAA.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