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i w:val="0"/>
          <w:sz w:val="28"/>
        </w:rPr>
        <w:t>Teaching Reform of Finance Course toward the Dual-Carbon Goals: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28"/>
        </w:rPr>
        <w:t>A Migration Study of the NFSC Framework in Green Output Chain</w:t>
      </w:r>
    </w:p>
    <w:p>
      <w:pPr>
        <w:ind w:firstLine="432"/>
      </w:pPr>
    </w:p>
    <w:p>
      <w:pPr>
        <w:jc w:val="center"/>
      </w:pPr>
      <w:r>
        <w:rPr>
          <w:rFonts w:ascii="Times New Roman" w:hAnsi="Times New Roman" w:eastAsia="SimSun"/>
          <w:b/>
          <w:i w:val="0"/>
          <w:sz w:val="22"/>
        </w:rPr>
        <w:t>Jingwei Zhang(1)*, Qing Sun(2)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1. Chengdu Ginkgo Hotel Management College, Chengdu 611743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2. Chengdu University, Chengdu 610106</w:t>
      </w:r>
    </w:p>
    <w:p>
      <w:pPr>
        <w:jc w:val="center"/>
      </w:pPr>
      <w:r>
        <w:rPr>
          <w:rFonts w:ascii="Times New Roman" w:hAnsi="Times New Roman" w:eastAsia="SimSun"/>
          <w:b w:val="0"/>
          <w:i/>
          <w:sz w:val="18"/>
        </w:rPr>
        <w:t>* Corresponding author</w:t>
      </w:r>
    </w:p>
    <w:p>
      <w:pPr>
        <w:ind w:firstLine="432"/>
      </w:pPr>
    </w:p>
    <w:p>
      <w:r>
        <w:rPr>
          <w:rFonts w:ascii="Times New Roman" w:hAnsi="Times New Roman" w:eastAsia="SimSun"/>
          <w:b/>
          <w:i w:val="0"/>
          <w:sz w:val="20"/>
        </w:rPr>
        <w:t>Abstract</w:t>
      </w:r>
    </w:p>
    <w:p>
      <w:r>
        <w:rPr>
          <w:rFonts w:ascii="Times New Roman" w:hAnsi="Times New Roman" w:eastAsia="SimSun"/>
          <w:b w:val="0"/>
          <w:i w:val="0"/>
          <w:sz w:val="20"/>
        </w:rPr>
        <w:t>China's carbon trading market surpassed RMB 240 billion in cumulative transaction value by late 2023, while green credit balances exceeded RMB 30 trillion. These numbers create a practical demand that undergraduate finance courses have yet to meet: future financial professionals must understand how carbon prices, ESG ratings, and green policy incentives affect lending, valuation, and investment decisions. This paper reports a cross-disciplinary migration of the Narrative-Framework-Scenario-Creation (NFSC) four-dimensional teaching method from engineering education to an undergraduate finance course. We construct a Green Output Chain - a progressive cognitive pathway mapping NFSC dimensions to green finance content. A 12-hour green finance module was delivered to 48 accounting majors. Student accuracy in applying three or more framework dimensions rose from 55% at baseline to 91% after practice. Among three output tracks, 61.9% chose financing plan design. Scenario received the highest impact rating (4.5/5.0). A four-element migration mechanism is proposed to explain how NFSC preserves structural integrity while enabling domain-specific content re-localization.</w:t>
      </w:r>
    </w:p>
    <w:p>
      <w:pPr>
        <w:ind w:firstLine="432"/>
      </w:pPr>
    </w:p>
    <w:p>
      <w:r>
        <w:rPr>
          <w:rFonts w:ascii="Times New Roman" w:hAnsi="Times New Roman" w:eastAsia="SimSun"/>
          <w:b w:val="0"/>
          <w:i/>
          <w:sz w:val="20"/>
        </w:rPr>
        <w:t>Keywords: NFSC teaching method; green output chain; finance education reform; cross-disciplinary migration; dual-carbon goals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1 Introduction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By the end of 2023, China's national carbon emission trading market had accumulated over RMB 240 billion in transactions [1]. Green credit balances had surpassed RMB 30 trillion [2]. ESG investing had shifted from a niche concern to a mainstream investment criterion. These figures represent more than economic data points - they signal a structural change in what financial professionals must know.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gap between this demand and current undergraduate finance instruction is measurable. The dominant textbook structure - money, credit, interest rates, markets, instruments, regulation - treats green finance as a terminal chapter, often skipped under time pressure [3]. Students who can recite the CAPM formula cannot explain why a carbon allowance price drop of RMB 10 per ton might trigger a loan covenant breach at a biomass power plant.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Huang, Xie, and Sun [4] proposed the Narrative-Framework-Scenario-Creation (NFSC) four-dimensional teaching method in an engineering education setting. The method uses documentary novel excerpts as narrative triggers, mismatch-repair diagnostic matrices as analytical tools, role-playing simulations for skill application, and a three-track creative output system for knowledge transformation. In their discussion, the authors asked whether NFSC could migrate to other disciplines, identifying three preconditions: a narratable material repository, an abstractable knowledge framework, and instructor capacity for scenario design. But no actual cross-disciplinary migration was reported.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Our study answers that open question. We migrated NFSC to an undergraduate finance course by constructing a Green Output Chain concept that systematically maps the four dimensions to green finance content. We implemented a 12-hour green finance module for 48 accounting majors and tracked student framework usage before and after instruction. Based on the migration data, we propose a four-element migration mechanism model.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Our contributions are: (1) the first complete cross-disciplinary NFSC migration empirical study beyond engineering; (2) the Green Output Chain concept as a structured coupling mechanism; and (3) a generalizable four-element migration mechanism model.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2 Methodology: NFSC Migration and Green Output Chain Design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2.1 The NFSC Framework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NFSC method partitions cognitive progression into four dimensions [4]. Narrative triggers motivation through authentic storytelling - in the prototype engineering course, this meant documentary novel excerpts depicting landfill site disputes, incinerator controversies, and community NIMBY protests [5]. Framework equips learners with diagnostic tools - the prototype used a six-dimension mismatch-repair matrix. Scenario forges capabilities through role-playing - EIA hearings, moot courts, site selection hearings. Creation transforms knowledge through a three-track output system: academic paper, course design project, and pedagogical reform essay. The four dimensions follow Bloom's cognitive taxonomy [6].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2.2 The Green Output Chain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We define the Green Output Chain as the progressive sequence of learning outputs from mapping NFSC dimensions onto green finance content. Using green as thematic qualifier, each NFSC dimension produces a specific, assessable learning output. Table 1 provides the migration mapping.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1. NFSC Four-Dimensional Migration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Dimension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Engineering Prototype [4]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Green Output Chain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Migration Adjustment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Narrative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Documentary novel excerpts (landfill externalities, incinerator siting, community protests)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finance event narratives (biomass plant carbon revenue shortfall, CATL green bond, wastewater plant carbon quota undervaluation)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Source material shifted from engineering conflict narratives to financial dilemma narratives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Six-dimension mismatch-repair (spatial, technological, behavioral, humanistic, temporal, informational)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Five-dimension green finance diagnostic framework (financing accessibility, carbon asset valuation, policy incentive transmission, environmental disclosure, maturity-liquidity matching)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 reconstructed from spatial-social diagnosis to financial dimension diagnosis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EIA hearings, moot courts, site selection hearings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credit approval simulation, carbon trading decision simulation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 converted from engineering decision-making to financial decision-making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Creation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Three-track (academic paper, course design, pedagogical essay)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Three-track (research report, financing plan, teaching reflection)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Output type adapted to accounting students analytical disposition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formal structure of NFSC - the four-dimension progressive logic - remains invariant during migration. The domain-specific content undergoes re-localization for the target discipline.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2.3 Five-Dimension Green Finance Diagnostic Framework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Framework dimension was operationalized through a five-dimension diagnostic framework that adapts standard financial analytical tools to green finance questions.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2. Five-Dimension Green Finance Diagnostic Framework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Dimension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Core Question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Key Indicators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Analytical Tools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Case Illustration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Financing Accessibility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Can a green project obtain adequate and reasonably priced capital?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Debt ratio &lt; 70%; credit line/investment &gt; 1.2; green vs. conventional loan spread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DuPont analysis, DCF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CATL 2021 green bond: AAA-rated, 3.28% coupon, ~50bp below conventional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Carbon Asset Valuation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Are emission allowances and related green assets priced correctly?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Allowance price/marginal abatement cost ratio; carbon assets/total assets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DCF valuation, Real options approach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China national CEA: 55-65 CNY/ton range during 2023; intra-year volatility ~18%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Policy Incentive Transmission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 policy preferences effectively reach project financials?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Tax relief/revenue; interest subsidy/financial expense; actual vs. eligible benefits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Sensitivity analysis, Scenario simulation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loan interest subsidies estimated at RMB 120 billion cumulative (2018-2023) [2]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Environmental Disclosure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Does environmental data transparency affect financing costs?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ESG rating tier; disclosure completeness index; third-party audit coverage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Regression analysis, Event study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Each one-notch ESG upgrade ~30bp reduction in corporate financing cost [7]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Maturity-Liquidity Matching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Does the long-term nature of green projects align with financial instruments?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Current ratio &gt; 1.5; payback period/loan term; long-term/short-term debt split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Cash flow matching, Duration analysis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Typical solar farm: 8-12 yr payback vs. 5-10 yr green loan max tenor - 2-3 yr gap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five dimensions interact: financing accessibility depends jointly on carbon asset valuation and policy incentive transmission; environmental disclosure quality affects both accessibility and valuation.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2.4 Course Context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Finance is a core foundation course for accounting majors at Chengdu Ginkgo Hotel Management College (48 contact hours, Huang &amp; Zhang [3] textbook). The study cohort - 2023 cohort Class 6 (n = 48) - had completed Fundamental Accounting and Microeconomics. A diagnostic survey at course onset confirmed that student familiarity with green finance was limited to name recognition.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green finance module occupied weeks 10 through 13 (12 contact hours, 25% of total). Allocation: Narrative 2h, Framework 4h, Scenario 4h, Creation 2h. Module objectives required students to: (1) analyze a green enterprise financing proposal using three or more diagnostic dimensions; (2) make framework-supported decisions in a simulated green credit approval scenario; and (3) independently produce a green financing plan or research report.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3 Implementation and Results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3.1 Module Delivery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Narrative (Week 10). Three narrative texts were distributed via course WeChat group before class: (a) a Shandong biomass power plant that faced early loan recall when carbon allowance prices dropped below operational breakeven, shrinking annual carbon revenue by approximately RMB 4 million (adapted from a 36Kr industry report); (b) CATL's RMB 5 billion green medium-term note offering circular (abridged); (c) a Jiangsu wastewater treatment plant that lost about RMB 3 million in carbon trading revenue due to undervalued emission allowances. Each text carried three guided questions. The first 20 minutes of class were devoted to extracting the academic problem - how does carbon revenue volatility affect financing accessibility? - from the visceral narrative of a clean-energy plant facing default.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Framework (Weeks 11-12). The instructor introduced the five-dimension framework. The initial exercise required students to analyze a photovoltaic equipment manufacturer seeking RMB 50 million in green technology upgrade financing. Baseline accuracy - defined as correctly applying three or more of five dimensions - was 55% (24 of 44 students attempting). After two additional guided practice sessions with three more cases, the end-of-week-12 re-test showed 91% accuracy (38 of 42 students).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(Week 13). The class split into four role groups: corporate CFO team (9 students, arguing project feasibility), bank credit review team (9 students, using the five-dimension framework for risk assessment), third-party environmental auditor team (9 students, verifying carbon data), and observer team (remaining students, recording framework usage). Each team had 20 minutes for preparation, followed by a 30-minute open inquiry session. The instructor did not prescribe whether the loan should be approved or rejected - the outcome depended on argument quality.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Creation (Weeks 14-16). Students chose from three output tracks, all requiring explicit application of three or more diagnostic dimensions: Track A (green bond/ESG fund research report), Track B (green financing plan for a real listed company), and Track C (teaching reflection).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3.2 Student Outputs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Of 48 enrolled students, 42 completed all four stages. Framework usage accuracy showed measurable improvement: 55% baseline (Week 11, n = 44) to 91% post-practice (Week 12, n = 42).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Pos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2. Pre-Post Comparison: Framework Usage Accuracy (n = 42).</w:t>
      </w:r>
    </w:p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three-track distribution appears in Figure 3: Track A 26.2% (11 students), Track B 61.9% (26 students), Track C 11.9% (5 students). The 61.9% share for Track B contrasts with the engineering prototype distribution (paper 40%, design 35%, pedagogical essay 25%) reported in [4], suggesting output track preferences correlate with discipline-specific cognitive styles.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carbon asset valuation dimension appeared most frequently in student outputs (92% of Track B reports), followed by policy incentive transmission (81%). Eight students (18%) spontaneously proposed dimensions beyond the prescribed five - international carbon tariff risk (4 students) and technology iteration risk (3 students). Huang et al. [4] identify such spontaneous framework extension as a Creation-dimension indicator.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ck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3. Distribution of Three-Track Output Choices (n = 42).</w:t>
      </w:r>
    </w:p>
    <w:p/>
    <w:p>
      <w:pPr>
        <w:pStyle w:val="Heading3"/>
      </w:pPr>
      <w:r>
        <w:rPr>
          <w:rFonts w:ascii="Times New Roman" w:hAnsi="Times New Roman" w:eastAsia="SimHei"/>
          <w:sz w:val="22"/>
        </w:rPr>
        <w:t>3.3 Student Feedback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An anonymous post-module survey (36 responses, 75% response rate) yielded the results in Table 3.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3. Student Perceived Learning Gains Across NFSC Dimensions (n = 36)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NFSC Dimension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Mean Rating (1-5)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Most Impactful Votes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Representative Student Comment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Narrative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4.2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10 (27.8%)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The biomass plant story made carbon prices tangible - they can shut down a factory.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3.9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6 (16.7%)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The framework provides structure but I needed more practice to internalize all five dimensions.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4.5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15 (41.7%)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When the CFO argued their case, I had to counter using specific framework dimensions. That pressure made the framework real.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Creation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4.0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5 (13.9%)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Choosing my own company for the financing plan made me actually care about the analysis.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received the highest impact rating (4.5/5.0, 41.7% naming it most impactful), consistent with [4]'s finding that students consistently rank scenario immersion as the most memorable component. Limitations include the 75% survey response rate, single-section single-semester design, and absence of a parallel control group.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4 Discussion: Migration Mechanism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4.1 Four-Element Migration Model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Based on the engineering-to-finance migration data, we propose that NFSC cross-disciplinary migration follows a four-element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igration_Mechan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1. NFSC Four-Element Cross-Disciplinary Migration Mechanism.</w:t>
      </w:r>
    </w:p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Narrative replacement. Source material type shifts from engineering conflict narratives to the target discipline's narrative events. The replacement criterion: materials must contain authentic economic or social conflicts with emotional tension that can be abstracted into academic questions.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Framework remapping. Diagnostic dimensions are reconstructed from the original discipline's framework to the target discipline's knowledge framework. The remapping criterion: each dimension must be operable, independently assessable, and verifiable within simulated scenarios.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type conversion. Simulation type converts from engineering decision-making to the target discipline's prototypical professional decision scenario. The conversion criterion: the scenario must involve multi-party interest conflict and information incompleteness.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Output adaptation. Output types adjust to match the target discipline's student learning styles and academic level. The adaptation criterion: outputs must demonstrate framework application while allowing student autonomy in form selection.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4.2 Dimension-Specific Adaptation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Among the four NFSC dimensions, adaptation fit varies. Narrative shows the highest fit - financial history is rich with narrative material (2008 subprime crisis, 2020 negative rates, 2023 Silicon Valley Bank run). Framework shows high fit - standard financial tools can be remapped with minimal restructuring. Scenario shows medium-to-high fit - business education already uses case methods; NFSC adds structured role cards. Creation shows the highest fit - finance education is inherently oriented toward producing decision proposals.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4.3 Implications for Engineering Education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cross-disciplinary migration offers bidirectional value. Forward: the successful migration demonstrates NFSC core mechanisms do not depend on specific disciplinary content. Reverse: simulation practices from finance can feed back into engineering education - for example, embedding incinerator plant BOT project financing scenarios in environmental engineering courses to help students grasp financial consequences of technical decisions.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5 Conclusion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This study provides the first complete cross-disciplinary migration empirical evidence for the NFSC teaching method. (1) The migration from environmental engineering to an undergraduate finance course is viable. Student framework accuracy improved from 55% to 91% after practice. (2) The Green Output Chain concept provides a structured pathway for coupling NFSC with non-engineering disciplines. (3) Cross-disciplinary migration follows a four-element mechanism: narrative replacement, framework remapping, scenario type conversion, and output adaptation. Future work should pursue multi-iteration longitudinal tracking and randomized controlled comparisons.</w:t>
      </w:r>
    </w:p>
    <w:p>
      <w:pPr>
        <w:ind w:firstLine="432"/>
      </w:pPr>
    </w:p>
    <w:p>
      <w:r>
        <w:rPr>
          <w:rFonts w:ascii="Times New Roman" w:hAnsi="Times New Roman" w:eastAsia="SimSun"/>
          <w:b/>
          <w:i w:val="0"/>
          <w:sz w:val="20"/>
        </w:rPr>
        <w:t>Author Contributions (CRediT)</w:t>
      </w:r>
    </w:p>
    <w:p>
      <w:r>
        <w:rPr>
          <w:rFonts w:ascii="Times New Roman" w:hAnsi="Times New Roman" w:eastAsia="SimSun"/>
          <w:b w:val="0"/>
          <w:i w:val="0"/>
          <w:sz w:val="18"/>
        </w:rPr>
        <w:t>Jingwei Zhang: Conceptualization, Methodology, Teaching Implementation, Data Collection, Writing - Original Draft. Qing Sun: NFSC Methodology Consultation, Writing - Review and Editing, Supervision.</w:t>
      </w:r>
    </w:p>
    <w:p>
      <w:r>
        <w:rPr>
          <w:rFonts w:ascii="Times New Roman" w:hAnsi="Times New Roman" w:eastAsia="SimSun"/>
          <w:b/>
          <w:i w:val="0"/>
          <w:sz w:val="20"/>
        </w:rPr>
        <w:t>Declaration of Interest</w:t>
      </w:r>
    </w:p>
    <w:p>
      <w:r>
        <w:rPr>
          <w:rFonts w:ascii="Times New Roman" w:hAnsi="Times New Roman" w:eastAsia="SimSun"/>
          <w:b w:val="0"/>
          <w:i w:val="0"/>
          <w:sz w:val="18"/>
        </w:rPr>
        <w:t>The authors declare no competing interests.</w:t>
      </w:r>
    </w:p>
    <w:p>
      <w:r>
        <w:rPr>
          <w:rFonts w:ascii="Times New Roman" w:hAnsi="Times New Roman" w:eastAsia="SimSun"/>
          <w:b/>
          <w:i w:val="0"/>
          <w:sz w:val="20"/>
        </w:rPr>
        <w:t>Data Availability</w:t>
      </w:r>
    </w:p>
    <w:p>
      <w:r>
        <w:rPr>
          <w:rFonts w:ascii="Times New Roman" w:hAnsi="Times New Roman" w:eastAsia="SimSun"/>
          <w:b w:val="0"/>
          <w:i w:val="0"/>
          <w:sz w:val="18"/>
        </w:rPr>
        <w:t>The student feedback data are available from the corresponding author upon reasonable request.</w:t>
      </w:r>
    </w:p>
    <w:p>
      <w:r>
        <w:rPr>
          <w:rFonts w:ascii="Times New Roman" w:hAnsi="Times New Roman" w:eastAsia="SimSun"/>
          <w:b/>
          <w:i w:val="0"/>
          <w:sz w:val="20"/>
        </w:rPr>
        <w:t>Ethics Statement</w:t>
      </w:r>
    </w:p>
    <w:p>
      <w:r>
        <w:rPr>
          <w:rFonts w:ascii="Times New Roman" w:hAnsi="Times New Roman" w:eastAsia="SimSun"/>
          <w:b w:val="0"/>
          <w:i w:val="0"/>
          <w:sz w:val="18"/>
        </w:rPr>
        <w:t>This study was conducted in accordance with institutional teaching research ethics guidelines.</w:t>
      </w:r>
    </w:p>
    <w:p>
      <w:pPr>
        <w:ind w:firstLine="432"/>
      </w:pPr>
    </w:p>
    <w:p>
      <w:pPr>
        <w:pStyle w:val="Heading1"/>
      </w:pPr>
      <w:r>
        <w:rPr>
          <w:rFonts w:ascii="Times New Roman" w:hAnsi="Times New Roman" w:eastAsia="SimHei"/>
          <w:sz w:val="28"/>
        </w:rPr>
        <w:t>References</w:t>
      </w:r>
    </w:p>
    <w:p>
      <w:r>
        <w:rPr>
          <w:rFonts w:ascii="Times New Roman" w:hAnsi="Times New Roman" w:eastAsia="SimSun"/>
          <w:b w:val="0"/>
          <w:i w:val="0"/>
          <w:sz w:val="18"/>
        </w:rPr>
        <w:t>[1] Shanghai Environment and Energy Exchange. (2024). National carbon emission trading market 2023 annual report. Shanghai: SEEE.</w:t>
      </w:r>
    </w:p>
    <w:p>
      <w:r>
        <w:rPr>
          <w:rFonts w:ascii="Times New Roman" w:hAnsi="Times New Roman" w:eastAsia="SimSun"/>
          <w:b w:val="0"/>
          <w:i w:val="0"/>
          <w:sz w:val="18"/>
        </w:rPr>
        <w:t>[2] People's Bank of China. (2024). 2023 financial institution loan orientation statistics report. Beijing: PBC.</w:t>
      </w:r>
    </w:p>
    <w:p>
      <w:r>
        <w:rPr>
          <w:rFonts w:ascii="Times New Roman" w:hAnsi="Times New Roman" w:eastAsia="SimSun"/>
          <w:b w:val="0"/>
          <w:i w:val="0"/>
          <w:sz w:val="18"/>
        </w:rPr>
        <w:t>[3] Huang, D., &amp; Zhang, J. (2020). Finance (5th ed.). Beijing: China Renmin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[4] Huang, Z., Xie, Z., &amp; Sun, Q. (2025). The NFSC four-dimensional teaching method in graduate engineering courses. Journal of Chengdu University (Natural Science Edition). [Manuscript submitted]</w:t>
      </w:r>
    </w:p>
    <w:p>
      <w:r>
        <w:rPr>
          <w:rFonts w:ascii="Times New Roman" w:hAnsi="Times New Roman" w:eastAsia="SimSun"/>
          <w:b w:val="0"/>
          <w:i w:val="0"/>
          <w:sz w:val="18"/>
        </w:rPr>
        <w:t>[5] Huang, Z. (2026). Universal education consulting: Documentary network novel series [M/OL]. QQ Reading / 17K Literature.</w:t>
      </w:r>
    </w:p>
    <w:p>
      <w:r>
        <w:rPr>
          <w:rFonts w:ascii="Times New Roman" w:hAnsi="Times New Roman" w:eastAsia="SimSun"/>
          <w:b w:val="0"/>
          <w:i w:val="0"/>
          <w:sz w:val="18"/>
        </w:rPr>
        <w:t>[6] Anderson, L. W., &amp; Krathwohl, D. R. (Eds.). (2001). A taxonomy for learning, teaching, and assessing. New York: Longman.</w:t>
      </w:r>
    </w:p>
    <w:p>
      <w:r>
        <w:rPr>
          <w:rFonts w:ascii="Times New Roman" w:hAnsi="Times New Roman" w:eastAsia="SimSun"/>
          <w:b w:val="0"/>
          <w:i w:val="0"/>
          <w:sz w:val="18"/>
        </w:rPr>
        <w:t>[7] S&amp;P Global. (2023). Sustainability yearbook 2023. New York: S&amp;P Global.</w:t>
      </w:r>
    </w:p>
    <w:p>
      <w:r>
        <w:rPr>
          <w:rFonts w:ascii="Times New Roman" w:hAnsi="Times New Roman" w:eastAsia="SimSun"/>
          <w:b w:val="0"/>
          <w:i w:val="0"/>
          <w:sz w:val="18"/>
        </w:rPr>
        <w:t>[8] Crawley, E. F., et al. (2014). Rethinking engineering education: The CDIO approach (2nd ed.). Cham: Springer.</w:t>
      </w:r>
    </w:p>
    <w:p>
      <w:r>
        <w:rPr>
          <w:rFonts w:ascii="Times New Roman" w:hAnsi="Times New Roman" w:eastAsia="SimSun"/>
          <w:b w:val="0"/>
          <w:i w:val="0"/>
          <w:sz w:val="18"/>
        </w:rPr>
        <w:t>[9] Spady, W. G. (1994). Outcome-based education: Critical issues and answers. Arlington, VA: AASA.</w:t>
      </w:r>
    </w:p>
    <w:p>
      <w:r>
        <w:rPr>
          <w:rFonts w:ascii="Times New Roman" w:hAnsi="Times New Roman" w:eastAsia="SimSun"/>
          <w:b w:val="0"/>
          <w:i w:val="0"/>
          <w:sz w:val="18"/>
        </w:rPr>
        <w:t>[10] Bruner, J. (1986). Actual minds, possible worlds. Cambridge, MA: Harvard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[11] Lave, J., &amp; Wenger, E. (1991). Situated learning: Legitimate peripheral participation. Cambridge: Cambridge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[12] Kolb, D. A. (2015). Experiential learning (2nd ed.). Upper Saddle River, NJ: Pearson.</w:t>
      </w:r>
    </w:p>
    <w:p>
      <w:r>
        <w:rPr>
          <w:rFonts w:ascii="Times New Roman" w:hAnsi="Times New Roman" w:eastAsia="SimSun"/>
          <w:b w:val="0"/>
          <w:i w:val="0"/>
          <w:sz w:val="18"/>
        </w:rPr>
        <w:t>[13] Perkins, D. N. (1991). Technology meets constructivism. Educational Technology, 31(5), 18-23.</w:t>
      </w:r>
    </w:p>
    <w:p>
      <w:r>
        <w:rPr>
          <w:rFonts w:ascii="Times New Roman" w:hAnsi="Times New Roman" w:eastAsia="SimSun"/>
          <w:b w:val="0"/>
          <w:i w:val="0"/>
          <w:sz w:val="18"/>
        </w:rPr>
        <w:t>[14] IPCC. (2022). Climate change 2022: Mitigation of climate change. Cambridge: Cambridge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[15] IFC. (2017). Green finance: A bottom-up approach to track existing flows. Washington, DC: IFC.</w:t>
      </w:r>
    </w:p>
    <w:p>
      <w:r>
        <w:rPr>
          <w:rFonts w:ascii="Times New Roman" w:hAnsi="Times New Roman" w:eastAsia="SimSun"/>
          <w:b w:val="0"/>
          <w:i w:val="0"/>
          <w:sz w:val="18"/>
        </w:rPr>
        <w:t>[16] World Bank. (2022). State and trends of carbon pricing 2022. Washington, DC: World Bank.</w:t>
      </w:r>
    </w:p>
    <w:p>
      <w:r>
        <w:rPr>
          <w:rFonts w:ascii="Times New Roman" w:hAnsi="Times New Roman" w:eastAsia="SimSun"/>
          <w:b w:val="0"/>
          <w:i w:val="0"/>
          <w:sz w:val="18"/>
        </w:rPr>
        <w:t>[17] Li, Z. (2015). Outcome-based instructional design. China University Teaching, (3), 32-39.</w:t>
      </w:r>
    </w:p>
    <w:p>
      <w:r>
        <w:rPr>
          <w:rFonts w:ascii="Times New Roman" w:hAnsi="Times New Roman" w:eastAsia="SimSun"/>
          <w:b w:val="0"/>
          <w:i w:val="0"/>
          <w:sz w:val="18"/>
        </w:rPr>
        <w:t>[18] CEEAA. (2024). Engineering education accreditation standards (2024 edition). Beijing: CEEAA.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