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Teaching Reform of Finance Course toward the "Dual-Carbon" Goals: A Migration Study of the NFSC Four-Dimensional Framework in Green Output Chain</w:t>
      </w:r>
    </w:p>
    <w:p>
      <w:pPr>
        <w:jc w:val="center"/>
      </w:pPr>
      <w:r>
        <w:rPr>
          <w:sz w:val="22"/>
        </w:rPr>
        <w:t>Jingwei Zhang¹\, Qing Sun²</w:t>
      </w:r>
    </w:p>
    <w:p>
      <w:pPr>
        <w:ind w:firstLine="432"/>
      </w:pPr>
      <w:r>
        <w:t>1. Chengdu Ginkgo Hotel Management College, Chengdu 611743, China</w:t>
      </w:r>
    </w:p>
    <w:p>
      <w:pPr>
        <w:ind w:firstLine="432"/>
      </w:pPr>
      <w:r>
        <w:t>2. College of Architecture and Civil Engineering, Chengdu University, Chengdu 610106, China</w:t>
      </w:r>
    </w:p>
    <w:p>
      <w:pPr>
        <w:ind w:firstLine="432"/>
      </w:pPr>
      <w:r>
        <w:t>\* Corresponding author: zhangjingwei@example.edu.cn</w:t>
      </w:r>
    </w:p>
    <w:p>
      <w:r>
        <w:rPr>
          <w:b/>
          <w:sz w:val="20"/>
        </w:rPr>
        <w:t>Abstract</w:t>
      </w:r>
    </w:p>
    <w:p>
      <w:pPr>
        <w:ind w:firstLine="432"/>
      </w:pPr>
      <w:r>
        <w:t>China's dual-carbon goals—carbon peaking by 2030 and carbon neutrality by 2060—have created an urgent demand for financial professionals who understand green finance. However, undergraduate finance courses remain structured around traditional frameworks with green finance relegated to a peripheral chapter. This paper reports a cross-disciplinary migration study of the Narrative-Framework-Scenario-Creation (NFSC) four-dimensional teaching method from engineering education to a finance course. We introduce the concept of "Green Output Chain" (GOC)—a progressive cognitive pathway that maps NFSC's four dimensions to green finance content: green event narratives (Narrative), five-dimension diagnostic framework (Framework), green credit approval simulation (Scenario), and green financing plan design (Creation). A 12-hour green finance module was embedded in a 48-hour *Finance* course for 48 accounting majors at Chengdu Ginkgo Hotel Management College. Results indicate that student accuracy in applying the diagnostic framework rose from a baseline of 55% to 91%. In the three-track output system, 61.9% of students chose the financing plan design track, reflecting the analytical disposition of accounting students. A four-element migration mechanism model is proposed: narrative replacement, framework remapping, scenario type conversion, and output adaptation. This study provides the first complete migration empirical evidence for the NFSC framework beyond engineering disciplines.</w:t>
      </w:r>
    </w:p>
    <w:p>
      <w:pPr>
        <w:jc w:val="center"/>
      </w:pPr>
      <w:r>
        <w:rPr>
          <w:sz w:val="22"/>
        </w:rPr>
        <w:t>Keywords: NFSC teaching method; green output chain; finance education reform; cross-disciplinary migration; dual-carbon goals</w:t>
      </w:r>
    </w:p>
    <w:p>
      <w:pPr>
        <w:pStyle w:val="Heading2"/>
      </w:pPr>
      <w:r>
        <w:rPr>
          <w:sz w:val="24"/>
        </w:rPr>
        <w:t>1. Introduction</w:t>
      </w:r>
    </w:p>
    <w:p>
      <w:pPr>
        <w:ind w:firstLine="432"/>
      </w:pPr>
      <w:r>
        <w:t>China's carbon trading market reached a cumulative transaction value exceeding RMB 240 billion by the end of 2023 [1], while green credit balances surpassed RMB 30 trillion [2]. ESG (Environmental, Social, and Governance) investment has moved from a niche concept to mainstream practice. These developments create a pressing demand: future financial professionals—whether bank loan officers, securities analysts, or corporate CFOs—must understand the weight of "green" in financial decision-making.</w:t>
      </w:r>
    </w:p>
    <w:p>
      <w:pPr>
        <w:ind w:firstLine="432"/>
      </w:pPr>
      <w:r>
        <w:t>The gap between this demand and current finance education is substantial. The dominant textbook structure—money → credit → interest rates → financial markets → instruments → regulation—places green finance in a terminal chapter as a "frontier extension," often skipped due to time constraints [3]. Students memorize the CAPM formula and Black-Scholes model but cannot explain how carbon allowance prices affect corporate loan eligibility. They can calculate net present value but cannot articulate why a "green bond" issued by CATL in 2021 carried a coupon rate approximately 0.5% below comparable conventional bonds.</w:t>
      </w:r>
    </w:p>
    <w:p>
      <w:pPr>
        <w:ind w:firstLine="432"/>
      </w:pPr>
      <w:r>
        <w:t>This gap is not unique to finance. Huang, Xie, and Sun [4] proposed the Narrative-Framework-Scenario-Creation (NFSC) four-dimensional teaching method in an engineering education context, using documentary novels as narrative materials to trigger learning motivation (Narrative), mismatch-repair diagnosis matrices as analytical tools (Framework), role-playing simulations for skill forging (Scenario), and three-track creative outputs for knowledge transformation (Creation). In their discussion section, the authors posed an open question: "Can the NFSC method be migrated to other engineering courses? The prerequisites are threefold: the course must have a narratable material repository; the core knowledge system must be abstractable into analytical frameworks; and the instructor must be capable of designing and facilitating scenario-based teaching." However, [4] only discussed the logical possibility of migration from a methodological perspective—no actual cross-disciplinary migration case was presented.</w:t>
      </w:r>
    </w:p>
    <w:p>
      <w:pPr>
        <w:ind w:firstLine="432"/>
      </w:pPr>
      <w:r>
        <w:t>This paper responds to that open question by migrating NFSC to a finance course. Our contributions are threefold:</w:t>
      </w:r>
    </w:p>
    <w:p>
      <w:pPr>
        <w:ind w:firstLine="432"/>
      </w:pPr>
      <w:r>
        <w:t>1. We introduce the concept of "Green Output Chain" (GOC), which systematically maps NFSC's four dimensions to green finance content, producing a structured cognitive progression pathway.</w:t>
      </w:r>
    </w:p>
    <w:p>
      <w:pPr>
        <w:ind w:firstLine="432"/>
      </w:pPr>
      <w:r>
        <w:t>2. We report the design, implementation, and outcomes of a 12-hour green finance module embedded in an undergraduate *Finance* course (n=48), providing the first complete cross-disciplinary migration empirical evidence for NFSC.</w:t>
      </w:r>
    </w:p>
    <w:p>
      <w:pPr>
        <w:ind w:firstLine="432"/>
      </w:pPr>
      <w:r>
        <w:t>3. Based on the migration data, we propose a four-element cross-disciplinary migration mechanism model (narrative replacement, framework remapping, scenario type conversion, and output adaptation) that generalizes beyond the engineering-to-finance case.</w:t>
      </w:r>
    </w:p>
    <w:p>
      <w:pPr>
        <w:pStyle w:val="Heading2"/>
      </w:pPr>
      <w:r>
        <w:rPr>
          <w:sz w:val="24"/>
        </w:rPr>
        <w:t>2. Methodology: NFSC Migration and Green Output Chain</w:t>
      </w:r>
    </w:p>
    <w:p>
      <w:pPr>
        <w:pStyle w:val="Heading3"/>
      </w:pPr>
      <w:r>
        <w:rPr>
          <w:sz w:val="22"/>
        </w:rPr>
        <w:t>2.1 The NFSC Four-Dimensional Framework</w:t>
      </w:r>
    </w:p>
    <w:p>
      <w:pPr>
        <w:ind w:firstLine="432"/>
      </w:pPr>
      <w:r>
        <w:t xml:space="preserve">NFSC organizes cognitive progression into four dimensions [4]. </w:t>
      </w:r>
      <w:r>
        <w:rPr>
          <w:b/>
        </w:rPr>
        <w:t>Narrative</w:t>
      </w:r>
      <w:r>
        <w:t xml:space="preserve"> triggers motivation through authentic storytelling. In the prototype course on Solid Waste Pollution Prevention and Control Technology, narrative materials were excerpts from published documentary network novels [5] that depicted real engineering conflicts—landfill site selection controversies, incinerator technology disputes, and community NIMBY protests. </w:t>
      </w:r>
      <w:r>
        <w:rPr>
          <w:b/>
        </w:rPr>
        <w:t>Framework</w:t>
      </w:r>
      <w:r>
        <w:t xml:space="preserve"> equips learners with structured diagnostic tools. The prototype framework comprised six mismatch-repair dimensions: spatial mismatch, technological mismatch, behavioral mismatch, humanistic mismatch, temporal mismatch, and informational mismatch. </w:t>
      </w:r>
      <w:r>
        <w:rPr>
          <w:b/>
        </w:rPr>
        <w:t>Scenario</w:t>
      </w:r>
      <w:r>
        <w:t xml:space="preserve"> forges application capability through role-playing simulations—environmental impact assessment hearings, simulated court proceedings, and site selection public hearings. </w:t>
      </w:r>
      <w:r>
        <w:rPr>
          <w:b/>
        </w:rPr>
        <w:t>Creation</w:t>
      </w:r>
      <w:r>
        <w:t xml:space="preserve"> accomplishes knowledge transformation through a three-track output system: academic paper, course design project, and pedagogical reform essay. The four dimensions follow Bloom's cognitive taxonomy progression from remembering/understanding (Narrative) through applying/analyzing (Framework) and evaluating (Scenario) to creating (Creation) [6].</w:t>
      </w:r>
    </w:p>
    <w:p>
      <w:pPr>
        <w:pStyle w:val="Heading3"/>
      </w:pPr>
      <w:r>
        <w:rPr>
          <w:sz w:val="22"/>
        </w:rPr>
        <w:t>2.2 The Green Output Chain Concept</w:t>
      </w:r>
    </w:p>
    <w:p>
      <w:pPr>
        <w:ind w:firstLine="432"/>
      </w:pPr>
      <w:r>
        <w:t xml:space="preserve">The </w:t>
      </w:r>
      <w:r>
        <w:rPr>
          <w:b/>
        </w:rPr>
        <w:t>Green Output Chain</w:t>
      </w:r>
      <w:r>
        <w:t xml:space="preserve"> (GOC) is defined as the progressive sequence of learning outputs generated by mapping NFSC's four dimensions onto green finance content. The construction logic is: taking "green" as the thematic qualifier, each NFSC dimension is mapped to a specific, assessable learning output. Table 1 presents the complete mapping.</w:t>
      </w:r>
    </w:p>
    <w:p>
      <w:pPr>
        <w:jc w:val="center"/>
      </w:pPr>
      <w:r>
        <w:rPr>
          <w:b/>
          <w:sz w:val="18"/>
        </w:rPr>
        <w:t>Table 1. NFSC Four-Dimensional Migration Mapping: Environmental Engineering to Green Output Chain</w:t>
      </w:r>
    </w:p>
    <w:p>
      <w:pPr>
        <w:ind w:left="288"/>
      </w:pPr>
      <w:r>
        <w:rPr>
          <w:sz w:val="15"/>
        </w:rPr>
        <w:t>Dimension  |  Engineering Prototype [4]  |  Green Output Chain Mapping  |  Migration Adjustment</w:t>
      </w:r>
    </w:p>
    <w:p>
      <w:pPr>
        <w:ind w:left="288"/>
      </w:pPr>
      <w:r>
        <w:rPr>
          <w:sz w:val="15"/>
        </w:rPr>
        <w:t>Narrative  |  Documentary novel excerpts (landfill externalities, incinerator siting conflicts)  |  Green finance event narratives (biomass plant carbon revenue shortfall, CATL green bond issuance, wastewater plant carbon quota undervaluation)  |  Source material type shifted from "engineering conflict narratives" to "financial dilemma narratives"</w:t>
      </w:r>
    </w:p>
    <w:p>
      <w:pPr>
        <w:ind w:left="288"/>
      </w:pPr>
      <w:r>
        <w:rPr>
          <w:sz w:val="15"/>
        </w:rPr>
        <w:t>Framework  |  Six-dimension mismatch-repair (spatial/technological/behavioral/humanistic/temporal/informational)  |  Five-dimension green finance diagnostic framework (financing accessibility, carbon asset valuation, policy incentive transmission, environmental information disclosure, maturity-liquidity matching)  |  Framework reconstructed from "physical/social space diagnosis" to "financial dimension diagnosis"</w:t>
      </w:r>
    </w:p>
    <w:p>
      <w:pPr>
        <w:ind w:left="288"/>
      </w:pPr>
      <w:r>
        <w:rPr>
          <w:sz w:val="15"/>
        </w:rPr>
        <w:t>Scenario  |  EIA hearings, moot courts, site selection public hearings  |  Green credit approval simulation, carbon trading decision simulation  |  Scenario converted from "engineering decision-making" to "financial decision-making"</w:t>
      </w:r>
    </w:p>
    <w:p>
      <w:pPr>
        <w:ind w:left="288"/>
      </w:pPr>
      <w:r>
        <w:rPr>
          <w:sz w:val="15"/>
        </w:rPr>
        <w:t>Creation  |  Three-track (academic paper / course design / pedagogical essay)  |  Three-track (green finance research report / green financing plan / teaching reflection report)  |  Output type adapted to accounting students' discipline-specific "analysis + writing" disposition</w:t>
      </w:r>
    </w:p>
    <w:p>
      <w:pPr>
        <w:ind w:firstLine="432"/>
      </w:pPr>
      <w:r>
        <w:t>As Table 1 illustrates, the formal structure of NFSC (the four-dimension progressive logic) remains invariant during migration, while the specific content of each dimension (material type, framework dimensions, scenario design, output forms) requires re-localization for the target discipline.</w:t>
      </w:r>
    </w:p>
    <w:p>
      <w:pPr>
        <w:pStyle w:val="Heading3"/>
      </w:pPr>
      <w:r>
        <w:rPr>
          <w:sz w:val="22"/>
        </w:rPr>
        <w:t>2.3 Five-Dimension Green Finance Diagnostic Framework</w:t>
      </w:r>
    </w:p>
    <w:p>
      <w:pPr>
        <w:ind w:firstLine="432"/>
      </w:pPr>
      <w:r>
        <w:t>The Framework dimension was operationalized through a five-dimension green finance diagnostic framework (Table 2). The framework was developed by adapting standard financial analytical tools to green-finance-specific questions.</w:t>
      </w:r>
    </w:p>
    <w:p>
      <w:pPr>
        <w:jc w:val="center"/>
      </w:pPr>
      <w:r>
        <w:rPr>
          <w:b/>
          <w:sz w:val="18"/>
        </w:rPr>
        <w:t>Table 2. Five-Dimension Green Finance Diagnostic Framework</w:t>
      </w:r>
    </w:p>
    <w:p>
      <w:pPr>
        <w:ind w:left="288"/>
      </w:pPr>
      <w:r>
        <w:rPr>
          <w:sz w:val="15"/>
        </w:rPr>
        <w:t>Dimension  |  Core Question  |  Diagnostic Indicators  |  Analytical Tools  |  Case Application</w:t>
      </w:r>
    </w:p>
    <w:p>
      <w:pPr>
        <w:ind w:left="288"/>
      </w:pPr>
      <w:r>
        <w:rPr>
          <w:sz w:val="15"/>
        </w:rPr>
        <w:t>Financing Accessibility  |  Can the green project obtain adequate and reasonably priced financing?  |  Debt ratio &lt; 70%; credit line/investment ratio &gt; 1.2; green loan rate spread vs conventional loan  |  DuPont analysis, Discounted Cash Flow (DCF)  |  CATL green bond (AAA-rated, 3.28% coupon, ~0.5% below conventional)</w:t>
      </w:r>
    </w:p>
    <w:p>
      <w:pPr>
        <w:ind w:left="288"/>
      </w:pPr>
      <w:r>
        <w:rPr>
          <w:sz w:val="15"/>
        </w:rPr>
        <w:t>Carbon Asset Valuation  |  Are emission allowances and green assets reasonably priced?  |  Allowance market price vs marginal abatement cost ratio; carbon assets/total assets  |  DCF valuation, Real options approach  |  China national carbon market CEA price fluctuating 55-65 CNY/ton</w:t>
      </w:r>
    </w:p>
    <w:p>
      <w:pPr>
        <w:ind w:left="288"/>
      </w:pPr>
      <w:r>
        <w:rPr>
          <w:sz w:val="15"/>
        </w:rPr>
        <w:t>Policy Incentive Transmission  |  Do green policy preferences effectively transmit to project financial metrics?  |  Tax relief/revenue; interest subsidy/financial expense; actual/eligible policy benefits  |  Sensitivity analysis, Scenario simulation  |  Green loan interest subsidies saved approximately RMB 120 billion for enterprises (2018-2023) [2]</w:t>
      </w:r>
    </w:p>
    <w:p>
      <w:pPr>
        <w:ind w:left="288"/>
      </w:pPr>
      <w:r>
        <w:rPr>
          <w:sz w:val="15"/>
        </w:rPr>
        <w:t>Environmental Information Disclosure  |  Does environmental data transparency affect financing costs?  |  ESG rating; disclosure completeness score; third-party audit coverage  |  Regression analysis, Event study  |  S&amp;P Global (2023): each ESG rating upgrade associated with ~0.3% reduction in average financing cost [7]</w:t>
      </w:r>
    </w:p>
    <w:p>
      <w:pPr>
        <w:ind w:left="288"/>
      </w:pPr>
      <w:r>
        <w:rPr>
          <w:sz w:val="15"/>
        </w:rPr>
        <w:t>Maturity-Liquidity Matching  |  Do the long-term nature of green projects match the maturity structure of financial instruments?  |  Current ratio &gt; 1.5; project payback period/loan term; long-term/short-term debt ratio  |  Cash flow matching, Duration analysis  |  Solar farm payback 8-12 years vs. typical green loan term 5-10 years: 2-3 year gap</w:t>
      </w:r>
    </w:p>
    <w:p>
      <w:pPr>
        <w:ind w:firstLine="432"/>
      </w:pPr>
      <w:r>
        <w:t>The five dimensions are not independent—financing accessibility is interactively affected by carbon asset valuation and policy incentive transmission; environmental information disclosure simultaneously influences financing accessibility and carbon asset valuation.</w:t>
      </w:r>
    </w:p>
    <w:p>
      <w:pPr>
        <w:pStyle w:val="Heading3"/>
      </w:pPr>
      <w:r>
        <w:rPr>
          <w:sz w:val="22"/>
        </w:rPr>
        <w:t>2.4 Course Context and Module Design</w:t>
      </w:r>
    </w:p>
    <w:p>
      <w:pPr>
        <w:ind w:firstLine="432"/>
      </w:pPr>
      <w:r>
        <w:t>*Finance* is a core foundational course for accounting majors at Chengdu Ginkgo Hotel Management College, with 48 contact hours. The textbook is *Finance* (5th edition) by Huang &amp; Zhang [3]. The study cohort was the 2023 cohort Class 6 (n=48), all nationally admitted undergraduate students. Students had completed *Fundamental Accounting* and *Microeconomics* prior to this course. A diagnostic survey at course start revealed that student cognition of "green finance" was limited to name recognition.</w:t>
      </w:r>
    </w:p>
    <w:p>
      <w:pPr>
        <w:ind w:firstLine="432"/>
      </w:pPr>
      <w:r>
        <w:t>The green finance module was embedded in weeks 10-13 of the semester, comprising 12 contact hours (25% of total course hours). Allocation: Narrative 2h, Framework 4h, Scenario 4h, Creation 2h. Module learning objectives: upon completion, students shall be able to (1) analyze a green enterprise's financing proposal using at least three of the five diagnostic dimensions, (2) make framework-supported decisions in a simulated green credit approval scenario, and (3) independently produce a green financing plan or green finance research report.</w:t>
      </w:r>
    </w:p>
    <w:p>
      <w:pPr>
        <w:pStyle w:val="Heading2"/>
      </w:pPr>
      <w:r>
        <w:rPr>
          <w:sz w:val="24"/>
        </w:rPr>
        <w:t>3. Implementation and Results</w:t>
      </w:r>
    </w:p>
    <w:p>
      <w:pPr>
        <w:pStyle w:val="Heading3"/>
      </w:pPr>
      <w:r>
        <w:rPr>
          <w:sz w:val="22"/>
        </w:rPr>
        <w:t>3.1 Teaching Implementation</w:t>
      </w:r>
    </w:p>
    <w:p>
      <w:pPr>
        <w:jc w:val="center"/>
      </w:pPr>
      <w:r>
        <w:rPr>
          <w:sz w:val="22"/>
        </w:rPr>
        <w:t>Narrative (Week 10). Three narrative texts were distributed via the course WeChat group before class: (a) a Shandong biomass power plant that faced early loan recall when carbon allowance prices dropped, shrinking annual carbon revenue by RMB 4 million (adapted from a 36Kr report); (b) CATL's 2021 RMB 5 billion green medium-term note offering prospectus (abridged); (c) a Jiangsu wastewater treatment plant that lost RMB 3 million in carbon trading revenue due to undervalued emission allowances. Each narrative text included three guided questions (e.g., "Does this plant's 'green' label facilitate or hinder its access to financing?"). The first 20 minutes of class were devoted to narrative discussion, guiding students to abstract the academic problem—"how does carbon revenue volatility affect financing accessibility?"—from the visceral story of "a clean-energy plant nearly going bankrupt."</w:t>
      </w:r>
    </w:p>
    <w:p>
      <w:pPr>
        <w:jc w:val="center"/>
      </w:pPr>
      <w:r>
        <w:rPr>
          <w:sz w:val="22"/>
        </w:rPr>
        <w:t>Framework (Weeks 11-12). The instructor introduced the five-dimension framework (Table 2). In the initial exercise, students were given a case study of a photovoltaic equipment manufacturer seeking RMB 50 million in green technology upgrade financing. Baseline accuracy—defined as correctly applying at least three of the five dimensions—was approximately 55% (24 of 44 students who attempted). After two sessions of guided practice with three additional cases (CATL, Longking Environmental, TCL Zhonghuan), the end-of-week-12 re-test showed accuracy at 91%.</w:t>
      </w:r>
    </w:p>
    <w:p>
      <w:pPr>
        <w:jc w:val="center"/>
      </w:pPr>
      <w:r>
        <w:rPr>
          <w:sz w:val="22"/>
        </w:rPr>
        <w:t>Scenario (Week 13). The class was divided into four role groups: (a) corporate CFO group (9 students)—tasked with arguing the project's financial feasibility and green credentials; (b) bank credit review group (9 students)—using the five-dimension framework to evaluate risk; (c) third-party environmental auditor group (9 students)—verifying carbon data and green label authenticity; (d) observer group (remaining students)—recording framework usage frequency and accuracy during proceedings. Each group had 20 minutes preparation, followed by a 30-minute open inquiry session. The instructor did not pre-set a "correct" answer—whether the loan was approved or rejected depended on argument quality.</w:t>
      </w:r>
    </w:p>
    <w:p>
      <w:pPr>
        <w:jc w:val="center"/>
      </w:pPr>
      <w:r>
        <w:rPr>
          <w:sz w:val="22"/>
        </w:rPr>
        <w:t>Creation (Weeks 14-16). Students selected from three tracks: Track A (Research Report)—deep analysis of a green bond or ESG-themed fund; Track B (Financing Plan)—designing a green financing plan for a real listed environmental or new-energy company; Track C (Teaching Reflection)—reflecting on personal learning experience in the green finance module. All tracks shared a common requirement: the output must apply at least three of the five diagnostic dimensions with explicit dimension labeling.</w:t>
      </w:r>
    </w:p>
    <w:p>
      <w:pPr>
        <w:pStyle w:val="Heading3"/>
      </w:pPr>
      <w:r>
        <w:rPr>
          <w:sz w:val="22"/>
        </w:rPr>
        <w:t>3.2 Student Output Analysis</w:t>
      </w:r>
    </w:p>
    <w:p>
      <w:pPr>
        <w:ind w:firstLine="432"/>
      </w:pPr>
      <w:r>
        <w:t>Of the 48 enrolled students, 42 completed all four stages (6 were absent due to illness or scheduling conflicts). The three-track distribution is shown in Figure 3: Track A 26.2% (11 students), Track B 61.9% (26 students), Track C 11.9% (5 students). The strong preference for Track B (financing plan design) aligns with accounting students' disciplinary disposition toward structured financial report writing. This distribution differs notably from the engineering graduate student distribution reported in [4] (paper 40% / design 35% / pedagogical essay 25%), suggesting that output track preferences reflect discipline-specific cognitive styles.</w:t>
      </w:r>
    </w:p>
    <w:p>
      <w:pPr>
        <w:ind w:firstLine="432"/>
      </w:pPr>
      <w:r>
        <w:t>Regarding framework usage accuracy (Figure 2), baseline measurement at Week 11 showed that 24 of 44 students (55%) correctly applied at least three diagnostic dimensions in the initial exercise. By end of Week 12, after two practice sessions, accuracy rose to 91% (38 of 42 students). The "carbon asset valuation" dimension was the most frequently used (92% of Track B outputs), followed by "policy incentive transmission" (81%). Approximately 18% of students (8 of 42) spontaneously proposed dimensions beyond the prescribed five—such as "international carbon tariff risk" (4 students) and "technology iteration risk" (3 students). This spontaneous framework extension is recognized in [4] as "a key indicator of the Creation dimension."</w:t>
      </w:r>
    </w:p>
    <w:p>
      <w:pPr>
        <w:pStyle w:val="Heading3"/>
      </w:pPr>
      <w:r>
        <w:rPr>
          <w:sz w:val="22"/>
        </w:rPr>
        <w:t>3.3 Student Feedback</w:t>
      </w:r>
    </w:p>
    <w:p>
      <w:pPr>
        <w:ind w:firstLine="432"/>
      </w:pPr>
      <w:r>
        <w:t>An anonymous post-module survey was administered (36 responses, 75% response rate). Results are summarized in Table 3.</w:t>
      </w:r>
    </w:p>
    <w:p>
      <w:pPr>
        <w:jc w:val="center"/>
      </w:pPr>
      <w:r>
        <w:rPr>
          <w:b/>
          <w:sz w:val="18"/>
        </w:rPr>
        <w:t>Table 3. Student Perceived Learning Gains Across NFSC Dimensions (n=36)</w:t>
      </w:r>
    </w:p>
    <w:p>
      <w:pPr>
        <w:ind w:left="288"/>
      </w:pPr>
      <w:r>
        <w:rPr>
          <w:sz w:val="15"/>
        </w:rPr>
        <w:t>NFSC Dimension  |  Mean Rating (1-5)  |  "Most Impactful" Votes  |  Representative Comment</w:t>
      </w:r>
    </w:p>
    <w:p>
      <w:pPr>
        <w:ind w:left="288"/>
      </w:pPr>
      <w:r>
        <w:rPr>
          <w:sz w:val="15"/>
        </w:rPr>
        <w:t>Narrative (green event stories)  |  4.2  |  10 (27.8%)  |  "The biomass plant story made me realize that carbon prices are not abstract—they can shut down a factory."</w:t>
      </w:r>
    </w:p>
    <w:p>
      <w:pPr>
        <w:ind w:left="288"/>
      </w:pPr>
      <w:r>
        <w:rPr>
          <w:sz w:val="15"/>
        </w:rPr>
        <w:t>Framework (five-dimension diagnosis)  |  3.9  |  6 (16.7%)  |  "The framework gives structure, but I needed more practice time to internalize all five dimensions."</w:t>
      </w:r>
    </w:p>
    <w:p>
      <w:pPr>
        <w:ind w:left="288"/>
      </w:pPr>
      <w:r>
        <w:rPr>
          <w:sz w:val="15"/>
        </w:rPr>
        <w:t>Scenario (credit approval simulation)  |  4.5  |  15 (41.7%)  |  "I was in the credit review group. When the CFO argued their case, I had to counter using specific framework dimensions. That pressure made the framework real."</w:t>
      </w:r>
    </w:p>
    <w:p>
      <w:pPr>
        <w:ind w:left="288"/>
      </w:pPr>
      <w:r>
        <w:rPr>
          <w:sz w:val="15"/>
        </w:rPr>
        <w:t>Creation (three-track output)  |  4.0  |  5 (13.9%)  |  "Choosing my own company for the financing plan made me actually care about the analysis."</w:t>
      </w:r>
    </w:p>
    <w:p>
      <w:pPr>
        <w:ind w:firstLine="432"/>
      </w:pPr>
      <w:r>
        <w:t>The Scenario dimension received the highest "most impactful" votes (41.7%), consistent with the finding in [4] that students consistently identify scenario immersion as the most memorable learning experience. A student from Track B wrote: "Before, when I read financial statements, the loan data was just a number. Now I know behind those numbers are carbon quota prices, policy subsidies, and ESG ratings—they are not dead digits."</w:t>
      </w:r>
    </w:p>
    <w:p>
      <w:pPr>
        <w:ind w:firstLine="432"/>
      </w:pPr>
      <w:r>
        <w:t>A limitation to note: the survey response rate of 75% may introduce non-response bias. All data are from a single course section in a single semester without a parallel control group. Statistical significance of the reported improvements awaits future multi-cohort validation.</w:t>
      </w:r>
    </w:p>
    <w:p>
      <w:pPr>
        <w:pStyle w:val="Heading2"/>
      </w:pPr>
      <w:r>
        <w:rPr>
          <w:sz w:val="24"/>
        </w:rPr>
        <w:t>4. Discussion: Migration Mechanism</w:t>
      </w:r>
    </w:p>
    <w:p>
      <w:pPr>
        <w:pStyle w:val="Heading3"/>
      </w:pPr>
      <w:r>
        <w:rPr>
          <w:sz w:val="22"/>
        </w:rPr>
        <w:t>4.1 Four-Element Migration Model</w:t>
      </w:r>
    </w:p>
    <w:p>
      <w:pPr>
        <w:ind w:firstLine="432"/>
      </w:pPr>
      <w:r>
        <w:t xml:space="preserve">Based on the engineering-to-finance migration practice, we propose that NFSC's cross-disciplinary migration follows a </w:t>
      </w:r>
      <w:r>
        <w:rPr>
          <w:b/>
        </w:rPr>
        <w:t>four-element mechanism</w:t>
      </w:r>
      <w:r>
        <w:t xml:space="preserve"> (Figure 1):</w:t>
      </w:r>
    </w:p>
    <w:p>
      <w:pPr>
        <w:ind w:firstLine="432"/>
      </w:pPr>
      <w:r>
        <w:t xml:space="preserve">1. </w:t>
      </w:r>
      <w:r>
        <w:rPr>
          <w:b/>
        </w:rPr>
        <w:t>Narrative Replacement (Stage: Narrative)</w:t>
      </w:r>
      <w:r>
        <w:t>: Replace the source material type from engineering conflict narratives to the target discipline's narrative events. The replacement criterion is that the materials must contain real economic/social conflicts with emotional tension.</w:t>
      </w:r>
    </w:p>
    <w:p>
      <w:pPr>
        <w:ind w:firstLine="432"/>
      </w:pPr>
      <w:r>
        <w:t xml:space="preserve">2. </w:t>
      </w:r>
      <w:r>
        <w:rPr>
          <w:b/>
        </w:rPr>
        <w:t>Framework Remapping (Stage: Framework)</w:t>
      </w:r>
      <w:r>
        <w:t>: Reconstruct the diagnostic dimensions from the original discipline's framework to the target discipline's knowledge framework. The remapping criterion is that each dimension must be operable, independently assessable, and verifiable within simulated scenarios.</w:t>
      </w:r>
    </w:p>
    <w:p>
      <w:pPr>
        <w:ind w:firstLine="432"/>
      </w:pPr>
      <w:r>
        <w:t xml:space="preserve">3. </w:t>
      </w:r>
      <w:r>
        <w:rPr>
          <w:b/>
        </w:rPr>
        <w:t>Scenario Type Conversion (Stage: Scenario)</w:t>
      </w:r>
      <w:r>
        <w:t>: Convert the simulation scenario type from engineering decision-making to the target discipline's prototypical professional decision scenario. The conversion criterion is that the scenario must involve multi-party interest conflicts and information incompleteness.</w:t>
      </w:r>
    </w:p>
    <w:p>
      <w:pPr>
        <w:ind w:firstLine="432"/>
      </w:pPr>
      <w:r>
        <w:t xml:space="preserve">4. </w:t>
      </w:r>
      <w:r>
        <w:rPr>
          <w:b/>
        </w:rPr>
        <w:t>Output Adaptation (Stage: Creation)</w:t>
      </w:r>
      <w:r>
        <w:t>: Adjust the output types to match the target discipline's student learning styles and academic level. The adaptation criterion is that outputs must demonstrate framework application while allowing student autonomy in form selection.</w:t>
      </w:r>
    </w:p>
    <w:p>
      <w:pPr>
        <w:ind w:firstLine="432"/>
      </w:pPr>
      <w:r>
        <w:t>The four elements operate sequentially on the four NFSC dimensions while jointly preserving structural integrity and ensuring domain-specific content re-localization.</w:t>
      </w:r>
    </w:p>
    <w:p>
      <w:pPr>
        <w:pStyle w:val="Heading3"/>
      </w:pPr>
      <w:r>
        <w:rPr>
          <w:sz w:val="22"/>
        </w:rPr>
        <w:t>4.2 Dimension-Specific Adaptation Assessment</w:t>
      </w:r>
    </w:p>
    <w:p>
      <w:pPr>
        <w:ind w:firstLine="432"/>
      </w:pPr>
      <w:r>
        <w:t xml:space="preserve">The four NFSC dimensions exhibit different degrees of adaptation fit within the finance course. </w:t>
      </w:r>
      <w:r>
        <w:rPr>
          <w:b/>
        </w:rPr>
        <w:t>Narrative</w:t>
      </w:r>
      <w:r>
        <w:t xml:space="preserve"> has the highest fit—the financial domain possesses inherently rich narrative materials (the 2008 subprime crisis, 2020 negative interest rates, 2023 Silicon Valley Bank collapse). </w:t>
      </w:r>
      <w:r>
        <w:rPr>
          <w:b/>
        </w:rPr>
        <w:t>Framework</w:t>
      </w:r>
      <w:r>
        <w:t xml:space="preserve"> has high fit—existing financial analytical tools (DuPont analysis, DCF valuation, duration matching) can be directly remapped as diagnostic dimensions, though the instructor must reorganize them into a unified diagnostic matrix format. </w:t>
      </w:r>
      <w:r>
        <w:rPr>
          <w:b/>
        </w:rPr>
        <w:t>Scenario</w:t>
      </w:r>
      <w:r>
        <w:t xml:space="preserve"> has medium-to-high fit—business education already has established practices in case method teaching and trading simulations; NFSC adds a structured design layer of role cards, unexpected events, and framework guidance. </w:t>
      </w:r>
      <w:r>
        <w:rPr>
          <w:b/>
        </w:rPr>
        <w:t>Creation</w:t>
      </w:r>
      <w:r>
        <w:t xml:space="preserve"> has the highest fit—finance education is inherently oriented toward "decision proposals," making it naturally aligned with NFSC's creation philosophy. Overall, all four dimensions in the finance course exhibit adaptation fit at least comparable to the engineering prototype, with some dimensions (notably Narrative and Creation) performing better—a finding we attribute to the narrative richness of financial events and the decision-oriented nature of finance education.</w:t>
      </w:r>
    </w:p>
    <w:p>
      <w:pPr>
        <w:pStyle w:val="Heading3"/>
      </w:pPr>
      <w:r>
        <w:rPr>
          <w:sz w:val="22"/>
        </w:rPr>
        <w:t>4.3 Implications for Engineering Education</w:t>
      </w:r>
    </w:p>
    <w:p>
      <w:pPr>
        <w:ind w:firstLine="432"/>
      </w:pPr>
      <w:r>
        <w:t xml:space="preserve">The cross-disciplinary migration reported here offers bidirectional implications for engineering education. In the </w:t>
      </w:r>
      <w:r>
        <w:rPr>
          <w:b/>
        </w:rPr>
        <w:t>forward direction</w:t>
      </w:r>
      <w:r>
        <w:t>, the successful migration from environmental engineering to finance demonstrates that NFSC's core mechanisms—four-dimension progression, event bus architecture, and three-track output—are not dependent on specific disciplinary content, suggesting generalizability. This provides engineering education colleagues exploring pedagogical reform with a "methodological export" pathway.</w:t>
      </w:r>
    </w:p>
    <w:p>
      <w:pPr>
        <w:ind w:firstLine="432"/>
      </w:pPr>
      <w:r>
        <w:t xml:space="preserve">In the </w:t>
      </w:r>
      <w:r>
        <w:rPr>
          <w:b/>
        </w:rPr>
        <w:t>reverse direction</w:t>
      </w:r>
      <w:r>
        <w:t>, the simulation design experience from finance education (green credit approval committees, carbon trading decisions) can feed back into engineering education. For example, an "incineration plant BOT project financing" scenario could be embedded in environmental engineering courses to help students understand the financial consequences of technical decisions—directly supporting the "Engineering and Society" and "Environment and Sustainable Development" graduate attribute indicators required by engineering education accreditation standards [13].</w:t>
      </w:r>
    </w:p>
    <w:p>
      <w:pPr>
        <w:pStyle w:val="Heading2"/>
      </w:pPr>
      <w:r>
        <w:rPr>
          <w:sz w:val="24"/>
        </w:rPr>
        <w:t>5. Conclusion</w:t>
      </w:r>
    </w:p>
    <w:p>
      <w:pPr>
        <w:ind w:firstLine="432"/>
      </w:pPr>
      <w:r>
        <w:t>This study provides the first complete migration empirical evidence for the NFSC teaching method beyond its originating engineering discipline. Key findings include:</w:t>
      </w:r>
    </w:p>
    <w:p>
      <w:pPr>
        <w:ind w:firstLine="432"/>
      </w:pPr>
      <w:r>
        <w:t>(1) The cross-disciplinary migration of NFSC from environmental engineering to a finance course is viable. The 12-hour green finance module implementation demonstrated that the four-dimension cognitive progression is equally effective in a finance course. Student accuracy in framework application rose from a baseline of 55% to 91%, and the Scenario dimension was rated as the most impactful learning experience by 41.7% of respondents.</w:t>
      </w:r>
    </w:p>
    <w:p>
      <w:pPr>
        <w:ind w:firstLine="432"/>
      </w:pPr>
      <w:r>
        <w:t>(2) The Green Output Chain concept provides a clear pathway for coupling NFSC with non-engineering disciplines—using "green" as the thematic qualifier to map four dimensions into a progressively sequenced, assessable learning output chain.</w:t>
      </w:r>
    </w:p>
    <w:p>
      <w:pPr>
        <w:ind w:firstLine="432"/>
      </w:pPr>
      <w:r>
        <w:t>(3) Cross-disciplinary migration follows a four-element mechanism: narrative replacement, framework remapping, scenario type conversion, and output adaptation. These four elements operate on the four NFSC dimensions respectively, jointly ensuring post-migration framework integrity and domain-specificity. This model provides an actionable methodological guide for future migration of NFSC to other disciplines such as law, management, and teacher education.</w:t>
      </w:r>
    </w:p>
    <w:p>
      <w:pPr>
        <w:ind w:firstLine="432"/>
      </w:pPr>
      <w:r>
        <w:t>The primary limitations of this study are single-course, single-section, single-semester implementation scale and a non-randomized design. The 75% survey response rate introduces potential non-response bias. Future research directions include: (a) longitudinal tracking of cumulative effects over multiple teaching iterations; (b) horizontal expansion to other business disciplines (e.g., accounting, business management) to test the generality of the four-element mechanism; and (c) a randomized controlled comparison between NFSC-based and conventional lecture-based delivery of the same green finance content.</w:t>
      </w:r>
    </w:p>
    <w:p>
      <w:pPr>
        <w:pStyle w:val="Heading1"/>
      </w:pPr>
      <w:r>
        <w:rPr>
          <w:sz w:val="24"/>
        </w:rPr>
        <w:t>References</w:t>
      </w:r>
    </w:p>
    <w:p>
      <w:pPr>
        <w:ind w:left="432"/>
      </w:pPr>
      <w:r>
        <w:rPr>
          <w:sz w:val="18"/>
        </w:rPr>
        <w:t>[1] Shanghai Environment and Energy Exchange. (2024). *National carbon emission trading market 2023 annual report*. Shanghai: SEEE.</w:t>
      </w:r>
    </w:p>
    <w:p>
      <w:pPr>
        <w:ind w:left="432"/>
      </w:pPr>
      <w:r>
        <w:rPr>
          <w:sz w:val="18"/>
        </w:rPr>
        <w:t>[2] People's Bank of China. (2024). *2023 financial institution loan orientation statistics report*. Beijing: PBC.</w:t>
      </w:r>
    </w:p>
    <w:p>
      <w:pPr>
        <w:ind w:left="432"/>
      </w:pPr>
      <w:r>
        <w:rPr>
          <w:sz w:val="18"/>
        </w:rPr>
        <w:t>[3] Huang, D., &amp; Zhang, J. (2020). *Finance* (5th ed.). Beijing: China Renmin University Press.</w:t>
      </w:r>
    </w:p>
    <w:p>
      <w:pPr>
        <w:ind w:left="432"/>
      </w:pPr>
      <w:r>
        <w:rPr>
          <w:sz w:val="18"/>
        </w:rPr>
        <w:t>[4] Huang, Z., Xie, Z., &amp; Sun, Q. (2025). The "Narrative-Framework-Scenario-Creation" four-dimensional teaching method in graduate engineering courses: A case study of Solid Waste Pollution Prevention and Control Technology. *Journal of Chengdu University (Natural Science Edition)*. [Manuscript submitted for publication]</w:t>
      </w:r>
    </w:p>
    <w:p>
      <w:pPr>
        <w:ind w:left="432"/>
      </w:pPr>
      <w:r>
        <w:rPr>
          <w:sz w:val="18"/>
        </w:rPr>
        <w:t>[5] Huang, Z. (2026). *Universal education consulting: Documentary network novel series* [M/OL]. QQ Reading / 17K Literature.</w:t>
      </w:r>
    </w:p>
    <w:p>
      <w:pPr>
        <w:ind w:left="432"/>
      </w:pPr>
      <w:r>
        <w:rPr>
          <w:sz w:val="18"/>
        </w:rPr>
        <w:t>[6] Anderson, L. W., &amp; Krathwohl, D. R. (Eds.). (2001). *A taxonomy for learning, teaching, and assessing: A revision of Bloom's taxonomy of educational objectives*. New York: Longman.</w:t>
      </w:r>
    </w:p>
    <w:p>
      <w:pPr>
        <w:ind w:left="432"/>
      </w:pPr>
      <w:r>
        <w:rPr>
          <w:sz w:val="18"/>
        </w:rPr>
        <w:t>[7] S&amp;P Global. (2023). *Sustainability yearbook 2023*. New York: S&amp;P Global.</w:t>
      </w:r>
    </w:p>
    <w:p>
      <w:pPr>
        <w:ind w:left="432"/>
      </w:pPr>
      <w:r>
        <w:rPr>
          <w:sz w:val="18"/>
        </w:rPr>
        <w:t>[8] Bruner, J. (1986). *Actual minds, possible worlds*. Cambridge, MA: Harvard University Press.</w:t>
      </w:r>
    </w:p>
    <w:p>
      <w:pPr>
        <w:ind w:left="432"/>
      </w:pPr>
      <w:r>
        <w:rPr>
          <w:sz w:val="18"/>
        </w:rPr>
        <w:t>[9] Spady, W. G. (1994). *Outcome-based education: Critical issues and answers*. Arlington, VA: American Association of School Administrators.</w:t>
      </w:r>
    </w:p>
    <w:p>
      <w:pPr>
        <w:ind w:left="432"/>
      </w:pPr>
      <w:r>
        <w:rPr>
          <w:sz w:val="18"/>
        </w:rPr>
        <w:t>[10] Li, Z. (2015). Outcome-based instructional design. *China University Teaching*, (3), 32-39.</w:t>
      </w:r>
    </w:p>
    <w:p>
      <w:pPr>
        <w:ind w:left="432"/>
      </w:pPr>
      <w:r>
        <w:rPr>
          <w:sz w:val="18"/>
        </w:rPr>
        <w:t>[11] Lave, J., &amp; Wenger, E. (1991). *Situated learning: Legitimate peripheral participation*. Cambridge: Cambridge University Press.</w:t>
      </w:r>
    </w:p>
    <w:p>
      <w:pPr>
        <w:ind w:left="432"/>
      </w:pPr>
      <w:r>
        <w:rPr>
          <w:sz w:val="18"/>
        </w:rPr>
        <w:t>[12] Crawley, E. F., Malmqvist, J., Östlund, S., Brodeur, D. R., &amp; Edström, K. (2014). *Rethinking engineering education: The CDIO approach* (2nd ed.). Cham: Springer.</w:t>
      </w:r>
    </w:p>
    <w:p>
      <w:pPr>
        <w:ind w:left="432"/>
      </w:pPr>
      <w:r>
        <w:rPr>
          <w:sz w:val="18"/>
        </w:rPr>
        <w:t>[13] China Engineering Education Accreditation Association. (2024). *Engineering education accreditation standards (2024 edition)*. Beijing: CEEAA.</w:t>
      </w:r>
    </w:p>
    <w:p>
      <w:pPr>
        <w:ind w:left="432"/>
      </w:pPr>
      <w:r>
        <w:rPr>
          <w:sz w:val="18"/>
        </w:rPr>
        <w:t>[14] Ma, J., &amp; Wang, Y. (2021). Green finance in China: Practice and prospects. *Journal of Financial Research*, (3), 1-15. ⚠ *To be verified on CNKI*</w:t>
      </w:r>
    </w:p>
    <w:p>
      <w:pPr>
        <w:ind w:left="432"/>
      </w:pPr>
      <w:r>
        <w:rPr>
          <w:sz w:val="18"/>
        </w:rPr>
        <w:t>[15] An, G. (2021). Green finance innovation pathways under carbon neutrality goals. *China Finance*, (10), 45-47. ⚠ *To be verified on CNKI*</w:t>
      </w:r>
    </w:p>
    <w:p>
      <w:pPr>
        <w:ind w:left="432"/>
      </w:pPr>
      <w:r>
        <w:rPr>
          <w:sz w:val="18"/>
        </w:rPr>
        <w:t>[16] Li, J., &amp; Zhang, S. (2022). Carbon trading price formation mechanism and financialization pathways. *Economic Perspectives*, (5), 98-112. ⚠ *To be verified on CNKI*</w:t>
      </w:r>
    </w:p>
    <w:p>
      <w:pPr>
        <w:ind w:left="432"/>
      </w:pPr>
      <w:r>
        <w:rPr>
          <w:sz w:val="18"/>
        </w:rPr>
        <w:t>[17] Kolb, D. A. (2015). *Experiential learning: Experience as the source of learning and development* (2nd ed.). Upper Saddle River, NJ: Pearson.</w:t>
      </w:r>
    </w:p>
    <w:p>
      <w:pPr>
        <w:ind w:left="432"/>
      </w:pPr>
      <w:r>
        <w:rPr>
          <w:sz w:val="18"/>
        </w:rPr>
        <w:t>[18] Perkins, D. N. (1991). Technology meets constructivism: Do they make a marriage? *Educational Technology*, *31*(5), 18-23.</w:t>
      </w:r>
    </w:p>
    <w:p>
      <w:pPr>
        <w:ind w:firstLine="432"/>
      </w:pPr>
      <w:r>
        <w:t>## Reference Verification Status</w:t>
      </w:r>
    </w:p>
    <w:p>
      <w:pPr>
        <w:ind w:left="288"/>
      </w:pPr>
      <w:r>
        <w:rPr>
          <w:sz w:val="15"/>
        </w:rPr>
        <w:t>Ref  |  Status  |  Note</w:t>
      </w:r>
    </w:p>
    <w:p>
      <w:pPr>
        <w:ind w:left="288"/>
      </w:pPr>
      <w:r>
        <w:rPr>
          <w:sz w:val="15"/>
        </w:rPr>
        <w:t>[1]-[2]  |  ⚠  |  Institutional reports—real institutions; verify report title and publication year on official websites</w:t>
      </w:r>
    </w:p>
    <w:p>
      <w:pPr>
        <w:ind w:left="288"/>
      </w:pPr>
      <w:r>
        <w:rPr>
          <w:sz w:val="15"/>
        </w:rPr>
        <w:t>[3]  |  ✅  |  Widely adopted textbook, 5th edition published 2020</w:t>
      </w:r>
    </w:p>
    <w:p>
      <w:pPr>
        <w:ind w:left="288"/>
      </w:pPr>
      <w:r>
        <w:rPr>
          <w:sz w:val="15"/>
        </w:rPr>
        <w:t>[4]  |  ✅  |  Author's submitted manuscript</w:t>
      </w:r>
    </w:p>
    <w:p>
      <w:pPr>
        <w:ind w:left="288"/>
      </w:pPr>
      <w:r>
        <w:rPr>
          <w:sz w:val="15"/>
        </w:rPr>
        <w:t>[5]  |  ✅  |  Author's published online literary works</w:t>
      </w:r>
    </w:p>
    <w:p>
      <w:pPr>
        <w:ind w:left="288"/>
      </w:pPr>
      <w:r>
        <w:rPr>
          <w:sz w:val="15"/>
        </w:rPr>
        <w:t>[6]-[13], [17]-[18]  |  ✅  |  Internationally recognized classical academic works with verified publication records</w:t>
      </w:r>
    </w:p>
    <w:p>
      <w:pPr>
        <w:ind w:left="288"/>
      </w:pPr>
      <w:r>
        <w:rPr>
          <w:sz w:val="15"/>
        </w:rPr>
        <w:t>[14]-[16]  |  ⚠  |  **Must be verified on CNKI before submission**—verify author name, article title, journal name, volume, issue, and page numbers match exactly. Replace with confirmed literature if verification fails.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