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ind w:firstLine="0"/>
      </w:pPr>
    </w:p>
    <w:p>
      <w:pPr>
        <w:spacing w:line="560" w:lineRule="exact"/>
        <w:ind w:firstLine="0"/>
      </w:pPr>
    </w:p>
    <w:p>
      <w:pPr>
        <w:spacing w:line="720" w:lineRule="exact" w:after="0"/>
        <w:ind w:firstLine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穿越周期：产出导向的四种非标新出口</w:t>
      </w:r>
    </w:p>
    <w:p>
      <w:pPr>
        <w:spacing w:line="720" w:lineRule="exact" w:after="0"/>
        <w:ind w:firstLine="0"/>
        <w:jc w:val="center"/>
      </w:pPr>
      <w:r>
        <w:rPr>
          <w:rFonts w:ascii="方正小标宋简体" w:hAnsi="方正小标宋简体" w:eastAsia="方正小标宋简体"/>
          <w:b w:val="0"/>
          <w:sz w:val="36"/>
        </w:rPr>
        <w:t>——门户·故事云·智能体·个人IP</w:t>
      </w:r>
    </w:p>
    <w:p>
      <w:pPr>
        <w:spacing w:line="560" w:lineRule="exact"/>
        <w:ind w:firstLine="0"/>
      </w:pPr>
    </w:p>
    <w:p>
      <w:pPr>
        <w:spacing w:line="720" w:lineRule="exact" w:after="0"/>
        <w:ind w:firstLine="0"/>
        <w:jc w:val="center"/>
      </w:pPr>
      <w:r>
        <w:rPr>
          <w:rFonts w:ascii="方正小标宋简体" w:hAnsi="方正小标宋简体" w:eastAsia="方正小标宋简体"/>
          <w:b w:val="0"/>
          <w:sz w:val="32"/>
        </w:rPr>
        <w:t>（报告简介）</w:t>
      </w:r>
    </w:p>
    <w:p>
      <w:pPr>
        <w:spacing w:line="560" w:lineRule="exact"/>
        <w:ind w:firstLine="0"/>
      </w:pPr>
    </w:p>
    <w:p>
      <w:pPr>
        <w:spacing w:line="560" w:lineRule="exact"/>
        <w:ind w:firstLine="0"/>
      </w:pPr>
    </w:p>
    <w:p>
      <w:pPr>
        <w:spacing w:line="560" w:lineRule="exact" w:before="120" w:after="80"/>
        <w:ind w:firstLine="0"/>
      </w:pPr>
      <w:r>
        <w:rPr>
          <w:rFonts w:ascii="黑体" w:hAnsi="黑体" w:eastAsia="黑体"/>
          <w:b/>
          <w:sz w:val="32"/>
        </w:rPr>
        <w:t>一、基本信息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报告题目：穿越周期：产出导向的四种非标新出口——门户·故事云·智能体·个人IP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所属分会场：分会场6·产出导向的内部评价机制建设与运行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分享人：黄正文  教授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所在单位：成都大学  建筑与土木工程学院  环境工程系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个人主页：https://zhengwen69.github.io/cdu-gufei-web-demo/HuangZhengwen.html</w:t>
      </w:r>
    </w:p>
    <w:p>
      <w:pPr>
        <w:spacing w:line="560" w:lineRule="exact"/>
        <w:ind w:firstLine="0"/>
      </w:pPr>
    </w:p>
    <w:p>
      <w:pPr>
        <w:spacing w:line="560" w:lineRule="exact" w:before="120" w:after="80"/>
        <w:ind w:firstLine="0"/>
      </w:pPr>
      <w:r>
        <w:rPr>
          <w:rFonts w:ascii="黑体" w:hAnsi="黑体" w:eastAsia="黑体"/>
          <w:b/>
          <w:sz w:val="32"/>
        </w:rPr>
        <w:t>二、报告主题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“产出导向”被操作为论文数量、项目经费、获奖等级时，它已偏离了高校最朴素的准星：老师当下怎么样？学生未来怎么样？本报告从一个蓉漂一线教师的多年实践出发，报告五种传统产出的相继塌方——工程装备市场饱和、环评咨询萎缩、房地产配套消失、生化环材沦为“天坑”、学术内卷难以为继——以及由此逼出的四种“非标”新出口：（1）门户，67页GitHub Pages，教学科研成果全部扫码即验，零服务器、零运维、零预算；（2）故事云，200万字原创纪实小说，27个标准化教学案例，多项版权登记，多年工程经验转化为可流通的数字资产；（3）智能体，11-Agent协同体系，1人×11倍产能，Prompt工程替代人海战术；（4）个人IP，五重身份叠加，百度百科双词条，7领域跨域迁移验证。核心主张：产出导向不是一套指标体系，而是——学生能否高起点就业、教师能否高质量再就业——丝滑穿越大周期。</w:t>
      </w:r>
    </w:p>
    <w:p>
      <w:pPr>
        <w:spacing w:line="560" w:lineRule="exact"/>
        <w:ind w:firstLine="0"/>
      </w:pPr>
    </w:p>
    <w:p>
      <w:pPr>
        <w:spacing w:line="560" w:lineRule="exact" w:before="120" w:after="80"/>
        <w:ind w:firstLine="0"/>
      </w:pPr>
      <w:r>
        <w:rPr>
          <w:rFonts w:ascii="黑体" w:hAnsi="黑体" w:eastAsia="黑体"/>
          <w:b/>
          <w:sz w:val="32"/>
        </w:rPr>
        <w:t>三、报告主要内容</w:t>
      </w:r>
    </w:p>
    <w:p>
      <w:pPr>
        <w:spacing w:line="560" w:lineRule="exact" w:before="40" w:after="40"/>
        <w:ind w:firstLine="640"/>
      </w:pPr>
      <w:r>
        <w:rPr>
          <w:rFonts w:ascii="楷体" w:hAnsi="楷体" w:eastAsia="楷体"/>
          <w:b/>
          <w:sz w:val="32"/>
        </w:rPr>
        <w:t>（一）卷首语：沈院的命题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简要自介与命题回应。回顾2003年以来五次“活路塌方”（非典后焚烧炉→环评萎缩→房地产去库存→天坑专业→学术内卷），引出四个核心追问：出口在哪？目的是什么？投入产出比？如何让教授有尊严、有钱有闲且受学生爱戴？提出全文主旨——“产出导向，就是学生高起点就业、教师高质量再就业——丝滑穿越大周期。”</w:t>
      </w:r>
    </w:p>
    <w:p>
      <w:pPr>
        <w:spacing w:line="560" w:lineRule="exact" w:before="40" w:after="40"/>
        <w:ind w:firstLine="640"/>
      </w:pPr>
      <w:r>
        <w:rPr>
          <w:rFonts w:ascii="楷体" w:hAnsi="楷体" w:eastAsia="楷体"/>
          <w:b/>
          <w:sz w:val="32"/>
        </w:rPr>
        <w:t>（二）第一章：故事云——把隐性知识变成可流通的故事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介绍“纪实小说云”的构成：7部原创工程纪实小说、471回规划、200万字以上、多项版权登记、免费连载于QQ阅读及17K文学平台。阐述小说到教学案例的转化链路：Agent-S自动拆解→FND五段法→27个标准化案例×35知识群，覆盖率100%。讨论为何“免费”——知识公共品的传播逻辑与实体商品相反，免费是获取最大流量、建立个人IP品牌的最短路径。</w:t>
      </w:r>
    </w:p>
    <w:p>
      <w:pPr>
        <w:spacing w:line="560" w:lineRule="exact" w:before="40" w:after="40"/>
        <w:ind w:firstLine="640"/>
      </w:pPr>
      <w:r>
        <w:rPr>
          <w:rFonts w:ascii="楷体" w:hAnsi="楷体" w:eastAsia="楷体"/>
          <w:b/>
          <w:sz w:val="32"/>
        </w:rPr>
        <w:t>（三）第二章：门户——让成果变成活物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介绍67页GitHub Pages门户集群的架构：主门户（14页）、产教融合门户（4页）、独立子门户（3站）、辅助功能页（4页）。逐页解读三个关键页面（主站首页、教研科研进展、建设任务书）。核心逻辑：全部门户零服务器、零运维、零预算，纯静态HTML——任何教师fork即可自主部署，方法论成为“可自我复制的IP”。论述门户如何将产业市场的“窄门”变为消费市场的“宽门”。</w:t>
      </w:r>
    </w:p>
    <w:p>
      <w:pPr>
        <w:spacing w:line="560" w:lineRule="exact" w:before="40" w:after="40"/>
        <w:ind w:firstLine="640"/>
      </w:pPr>
      <w:r>
        <w:rPr>
          <w:rFonts w:ascii="楷体" w:hAnsi="楷体" w:eastAsia="楷体"/>
          <w:b/>
          <w:sz w:val="32"/>
        </w:rPr>
        <w:t>（四）第三章：智能体——1个人就是一支队伍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介绍11-Agent协同体系的角色设计（教师端9个、学生端映射），7步闭环流程（预习→准备→讲授→学习→练习→验证→改进）。核心命题：“AI放大教师”而非“AI替代教师”。投入产出分析：Prompt工程与API调用相结合，实现1人×11倍产能，边际成本趋零。讨论Agent如何同时服务消费市场（面向几千万人的内容分发）与课堂教学（备课、出题、评价自动化），实现教改与个人发展的统一。</w:t>
      </w:r>
    </w:p>
    <w:p>
      <w:pPr>
        <w:spacing w:line="560" w:lineRule="exact" w:before="40" w:after="40"/>
        <w:ind w:firstLine="640"/>
      </w:pPr>
      <w:r>
        <w:rPr>
          <w:rFonts w:ascii="楷体" w:hAnsi="楷体" w:eastAsia="楷体"/>
          <w:b/>
          <w:sz w:val="32"/>
        </w:rPr>
        <w:t>（五）第四章：个人IP——流量时代的教授新风口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呈现五重身份叠加的时间轴（实业家→学术管理→教育经营→教改创新→作家）。介绍“点暇斋”作家身份与百度百科双词条。展示7领域跨域迁移验证——NFSC方法论从固废研究生教学到UAV、竹笛、英语等7个完全不同领域的成功迁移，证明“老师真的能换赛道”。</w:t>
      </w:r>
    </w:p>
    <w:p>
      <w:pPr>
        <w:spacing w:line="560" w:lineRule="exact" w:before="40" w:after="40"/>
        <w:ind w:firstLine="640"/>
      </w:pPr>
      <w:r>
        <w:rPr>
          <w:rFonts w:ascii="楷体" w:hAnsi="楷体" w:eastAsia="楷体"/>
          <w:b/>
          <w:sz w:val="32"/>
        </w:rPr>
        <w:t>（六）结语：回到沈院的命题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以四个追问与回答逐条收回。附旧产出与新产出最终对照表及核心数据汇总。封底金句——“产出导向，就是学生高起点就业、教师高质量再就业——丝滑穿越大周期。”</w:t>
      </w:r>
    </w:p>
    <w:p>
      <w:pPr>
        <w:spacing w:line="560" w:lineRule="exact"/>
        <w:ind w:firstLine="0"/>
      </w:pPr>
    </w:p>
    <w:p>
      <w:pPr>
        <w:spacing w:line="560" w:lineRule="exact" w:before="120" w:after="80"/>
        <w:ind w:firstLine="0"/>
      </w:pPr>
      <w:r>
        <w:rPr>
          <w:rFonts w:ascii="黑体" w:hAnsi="黑体" w:eastAsia="黑体"/>
          <w:b/>
          <w:sz w:val="32"/>
        </w:rPr>
        <w:t>四、关键词</w:t>
      </w:r>
    </w:p>
    <w:p>
      <w:pPr>
        <w:spacing w:line="560" w:lineRule="exact"/>
        <w:ind w:firstLine="0"/>
        <w:jc w:val="both"/>
      </w:pPr>
      <w:r>
        <w:rPr>
          <w:rFonts w:ascii="仿宋" w:hAnsi="仿宋" w:eastAsia="仿宋"/>
          <w:sz w:val="32"/>
        </w:rPr>
        <w:t>产出导向  门户  故事云  智能体  个人IP  周期穿越  NFSC教学法  产教融合  新质生产力</w:t>
      </w:r>
    </w:p>
    <w:p>
      <w:pPr>
        <w:spacing w:line="560" w:lineRule="exact"/>
        <w:ind w:firstLine="0"/>
      </w:pPr>
    </w:p>
    <w:p>
      <w:pPr>
        <w:spacing w:line="560" w:lineRule="exact" w:before="120" w:after="80"/>
        <w:ind w:firstLine="0"/>
      </w:pPr>
      <w:r>
        <w:rPr>
          <w:rFonts w:ascii="黑体" w:hAnsi="黑体" w:eastAsia="黑体"/>
          <w:b/>
          <w:sz w:val="32"/>
        </w:rPr>
        <w:t>五、其他说明</w:t>
      </w:r>
    </w:p>
    <w:p>
      <w:pPr>
        <w:spacing w:line="560" w:lineRule="exact"/>
        <w:ind w:firstLine="640"/>
        <w:jc w:val="both"/>
      </w:pPr>
      <w:r>
        <w:rPr>
          <w:rFonts w:ascii="仿宋" w:hAnsi="仿宋" w:eastAsia="仿宋"/>
          <w:sz w:val="32"/>
        </w:rPr>
        <w:t>报告全文约6000字（含10张数据表格），附14个关键浏览页URL清单，所有论据均可扫码即时在线验证。完整版Word文档与PDF可于分会场分发，亦可通过个人主页在线浏览。</w:t>
      </w:r>
    </w:p>
    <w:p>
      <w:pPr>
        <w:spacing w:line="560" w:lineRule="exact"/>
        <w:ind w:firstLine="0"/>
      </w:pPr>
    </w:p>
    <w:p>
      <w:pPr>
        <w:spacing w:line="560" w:lineRule="exact" w:before="120" w:after="80"/>
        <w:ind w:firstLine="0"/>
      </w:pPr>
      <w:r>
        <w:rPr>
          <w:rFonts w:ascii="黑体" w:hAnsi="黑体" w:eastAsia="黑体"/>
          <w:b/>
          <w:sz w:val="32"/>
        </w:rPr>
        <w:t>六、联系方式</w:t>
      </w:r>
    </w:p>
    <w:p>
      <w:pPr>
        <w:spacing w:line="560" w:lineRule="exact"/>
        <w:ind w:firstLine="0"/>
        <w:jc w:val="both"/>
      </w:pPr>
      <w:r>
        <w:rPr>
          <w:rFonts w:ascii="仿宋" w:hAnsi="仿宋" w:eastAsia="仿宋"/>
          <w:sz w:val="32"/>
        </w:rPr>
        <w:t>分享人：黄正文</w:t>
      </w:r>
    </w:p>
    <w:p>
      <w:pPr>
        <w:spacing w:line="560" w:lineRule="exact"/>
        <w:ind w:firstLine="0"/>
        <w:jc w:val="both"/>
      </w:pPr>
      <w:r>
        <w:rPr>
          <w:rFonts w:ascii="仿宋" w:hAnsi="仿宋" w:eastAsia="仿宋"/>
          <w:sz w:val="32"/>
        </w:rPr>
        <w:t>单位：成都大学建筑与土木工程学院环境工程系</w:t>
      </w:r>
    </w:p>
    <w:p>
      <w:pPr>
        <w:spacing w:line="560" w:lineRule="exact"/>
        <w:ind w:firstLine="0"/>
        <w:jc w:val="both"/>
      </w:pPr>
      <w:r>
        <w:rPr>
          <w:rFonts w:ascii="仿宋" w:hAnsi="仿宋" w:eastAsia="仿宋"/>
          <w:sz w:val="32"/>
        </w:rPr>
        <w:t>个人主页：https://zhengwen69.github.io/cdu-gufei-web-demo/HuangZhengwen.html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