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80"/>
        <w:ind w:firstLine="0"/>
        <w:jc w:val="center"/>
      </w:pPr>
      <w:r>
        <w:rPr>
          <w:rFonts w:ascii="黑体" w:hAnsi="黑体" w:eastAsia="黑体"/>
          <w:b/>
          <w:sz w:val="40"/>
        </w:rPr>
        <w:t>穿越周期：产出导向的四种非标新出口</w:t>
      </w:r>
    </w:p>
    <w:p>
      <w:pPr>
        <w:spacing w:after="80"/>
        <w:ind w:firstLine="0"/>
        <w:jc w:val="center"/>
      </w:pPr>
      <w:r>
        <w:rPr>
          <w:rFonts w:ascii="黑体" w:hAnsi="黑体" w:eastAsia="黑体"/>
          <w:b/>
          <w:sz w:val="32"/>
        </w:rPr>
        <w:t>——门户·故事云·智能体·个人IP</w:t>
      </w:r>
    </w:p>
    <w:p>
      <w:pPr>
        <w:spacing w:after="240"/>
        <w:ind w:firstLine="0"/>
        <w:jc w:val="center"/>
      </w:pPr>
      <w:r>
        <w:rPr>
          <w:rFonts w:ascii="楷体" w:hAnsi="楷体" w:eastAsia="楷体"/>
          <w:color w:val="555555"/>
          <w:sz w:val="28"/>
        </w:rPr>
        <w:t>产出实验探索分享 · 分会场6</w:t>
      </w:r>
    </w:p>
    <w:p>
      <w:pPr>
        <w:spacing w:after="240"/>
        <w:ind w:firstLine="0"/>
        <w:jc w:val="center"/>
      </w:pPr>
      <w:r>
        <w:rPr>
          <w:rFonts w:ascii="楷体" w:hAnsi="楷体" w:eastAsia="楷体"/>
          <w:color w:val="555555"/>
          <w:sz w:val="28"/>
        </w:rPr>
        <w:t>分享人：成都大学 黄正文教授</w:t>
      </w:r>
    </w:p>
    <w:p>
      <w:pPr>
        <w:spacing w:after="240"/>
        <w:ind w:firstLine="0"/>
        <w:jc w:val="center"/>
      </w:pPr>
      <w:r>
        <w:rPr>
          <w:rFonts w:ascii="楷体" w:hAnsi="楷体" w:eastAsia="楷体"/>
          <w:color w:val="555555"/>
          <w:sz w:val="28"/>
        </w:rPr>
      </w:r>
    </w:p>
    <w:p>
      <w:pPr>
        <w:spacing w:after="240"/>
        <w:ind w:firstLine="0"/>
        <w:jc w:val="center"/>
      </w:pPr>
      <w:r>
        <w:rPr>
          <w:rFonts w:ascii="楷体" w:hAnsi="楷体" w:eastAsia="楷体"/>
          <w:color w:val="555555"/>
          <w:sz w:val="28"/>
        </w:rPr>
        <w:t>个人主页  https://zhengwen69.github.io/cdu-gufei-web-demo/HuangZhengwen.html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卷首语 · 沈院的命题</w:t>
      </w:r>
    </w:p>
    <w:p>
      <w:pPr>
        <w:spacing w:after="120"/>
        <w:ind w:firstLine="0"/>
      </w:pPr>
      <w:r>
        <w:rPr>
          <w:rFonts w:ascii="宋体" w:hAnsi="宋体" w:eastAsia="宋体"/>
          <w:b w:val="0"/>
          <w:sz w:val="24"/>
        </w:rPr>
        <w:t>沈院与肖主任，给我出了一个命题作业，让我汇报一下自己在产出导向的探索进展。我想了想，没有经验只有教训。也许我作为蓉漂一代，为了生存，因为不行，所以另辟蹊径——也许我是真的"逃"出了一条路：不卷论文、不卷项目、不卷获奖，而是靠故事云、智能体、门户，实现了老师和学生的双向救赎。15分钟，我就讲这件事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</w:r>
    </w:p>
    <w:p>
      <w:pPr>
        <w:spacing w:after="120"/>
        <w:ind w:firstLine="0"/>
      </w:pPr>
      <w:r>
        <w:rPr>
          <w:rFonts w:ascii="宋体" w:hAnsi="宋体" w:eastAsia="宋体"/>
          <w:b w:val="0"/>
          <w:sz w:val="24"/>
        </w:rPr>
        <w:t>什么是"产出导向"？我的回答很简单——</w:t>
      </w:r>
    </w:p>
    <w:p>
      <w:pPr>
        <w:spacing w:after="160"/>
        <w:ind w:firstLine="0" w:left="1134"/>
      </w:pPr>
      <w:r>
        <w:rPr>
          <w:rFonts w:ascii="楷体" w:hAnsi="楷体" w:eastAsia="楷体"/>
          <w:color w:val="555555"/>
          <w:sz w:val="22"/>
        </w:rPr>
        <w:t>产出导向，就是学生高起点就业、教师高质量再就业——丝滑穿越大周期。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</w:r>
    </w:p>
    <w:p>
      <w:pPr>
        <w:spacing w:after="120"/>
        <w:ind w:firstLine="0"/>
      </w:pPr>
      <w:r>
        <w:rPr>
          <w:rFonts w:ascii="宋体" w:hAnsi="宋体" w:eastAsia="宋体"/>
          <w:b w:val="0"/>
          <w:sz w:val="24"/>
        </w:rPr>
        <w:t>2003年非典，医疗垃圾焚烧炉成为爆款单品，热卖过后，一个月将几十年的炉子买完了。怎么办？环评不火了。怎么办？以房地产周期大拆大建下配套环境工程存量消失、增量缺乏。怎么办？生化环材网上流传为四大天坑专业。怎么办？大家熟悉的、主打的、习惯的论文卷不动了，获奖、项目都卷不下去了。怎么办？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</w:r>
    </w:p>
    <w:p>
      <w:pPr>
        <w:spacing w:after="120"/>
        <w:ind w:firstLine="0"/>
      </w:pPr>
      <w:r>
        <w:rPr>
          <w:rFonts w:ascii="宋体" w:hAnsi="宋体" w:eastAsia="宋体"/>
          <w:b w:val="0"/>
          <w:sz w:val="24"/>
        </w:rPr>
        <w:t>这一连串"怎么办"，逼出了四个问题：</w:t>
      </w:r>
    </w:p>
    <w:p>
      <w:pPr>
        <w:spacing w:after="120"/>
        <w:ind w:firstLine="0"/>
      </w:pPr>
      <w:r>
        <w:rPr>
          <w:rFonts w:ascii="宋体" w:hAnsi="宋体" w:eastAsia="宋体"/>
          <w:b/>
          <w:sz w:val="24"/>
        </w:rPr>
        <w:t>① 产出的出口在哪里？</w:t>
      </w:r>
    </w:p>
    <w:p>
      <w:pPr>
        <w:spacing w:after="120"/>
        <w:ind w:firstLine="0"/>
      </w:pPr>
      <w:r>
        <w:rPr>
          <w:rFonts w:ascii="宋体" w:hAnsi="宋体" w:eastAsia="宋体"/>
          <w:b/>
          <w:sz w:val="24"/>
        </w:rPr>
        <w:t>② 产出的目的究竟是什么？出发点是什么？</w:t>
      </w:r>
    </w:p>
    <w:p>
      <w:pPr>
        <w:spacing w:after="120"/>
        <w:ind w:firstLine="0"/>
      </w:pPr>
      <w:r>
        <w:rPr>
          <w:rFonts w:ascii="宋体" w:hAnsi="宋体" w:eastAsia="宋体"/>
          <w:b/>
          <w:sz w:val="24"/>
        </w:rPr>
        <w:t>③ 投入产出比如何？</w:t>
      </w:r>
    </w:p>
    <w:p>
      <w:pPr>
        <w:spacing w:after="120"/>
        <w:ind w:firstLine="0"/>
      </w:pPr>
      <w:r>
        <w:rPr>
          <w:rFonts w:ascii="宋体" w:hAnsi="宋体" w:eastAsia="宋体"/>
          <w:b/>
          <w:sz w:val="24"/>
        </w:rPr>
        <w:t>④ 如何让博士、教授更有尊严、更体面、更闲适、有钱有闲——且受学生爱戴？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</w:r>
    </w:p>
    <w:p>
      <w:pPr>
        <w:spacing w:after="120"/>
        <w:ind w:firstLine="0"/>
      </w:pPr>
      <w:r>
        <w:rPr>
          <w:rFonts w:ascii="宋体" w:hAnsi="宋体" w:eastAsia="宋体"/>
          <w:b w:val="0"/>
          <w:sz w:val="24"/>
        </w:rPr>
        <w:t>穿越周期的秘诀是什么？本文即是对这四个问题的十五年实践回答。我将在以下四章中，逐一解剖故事云、智能体、门户、个人IP四件"逃生工具"。它们的生成顺序不是随意的——先有工程经验，写成故事；故事需要展示，搭成门户；一个人的精力有限，用AI放大；最后，四者结晶为一枚可迁移的个人IP。它们涉及教改、涉及产教融合、涉及创新创业，也许跑题，也许不跑题。作为一份汇报，我把它们如实摊开，供沈院、肖主任及各位同行批评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</w:r>
    </w:p>
    <w:p>
      <w:pPr>
        <w:pStyle w:val="Heading2"/>
      </w:pPr>
      <w:r>
        <w:rPr>
          <w:rFonts w:ascii="黑体" w:hAnsi="黑体" w:eastAsia="黑体"/>
        </w:rPr>
        <w:t>五次塌方：当旧产出一种接一种塌掉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209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事件</w:t>
            </w:r>
          </w:p>
        </w:tc>
        <w:tc>
          <w:tcPr>
            <w:tcW w:type="dxa" w:w="2209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塌方内容</w:t>
            </w:r>
          </w:p>
        </w:tc>
        <w:tc>
          <w:tcPr>
            <w:tcW w:type="dxa" w:w="2209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追问</w:t>
            </w:r>
          </w:p>
        </w:tc>
      </w:tr>
      <w:tr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2003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非典·焚烧炉爆款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工程装备市场饱和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然后呢？</w:t>
            </w:r>
          </w:p>
        </w:tc>
      </w:tr>
      <w:tr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~2008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环评市场萎缩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单一技术咨询模式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然后呢？</w:t>
            </w:r>
          </w:p>
        </w:tc>
      </w:tr>
      <w:tr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~2015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房地产去库存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配套工程增量消失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然后呢？</w:t>
            </w:r>
          </w:p>
        </w:tc>
      </w:tr>
      <w:tr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~2020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"天坑"标签蔓延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专业社会认同下降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然后呢？</w:t>
            </w:r>
          </w:p>
        </w:tc>
      </w:tr>
      <w:tr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~2025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学术评价同质化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论文/项目/获奖内卷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然后呢？</w:t>
            </w:r>
          </w:p>
        </w:tc>
      </w:tr>
    </w:tbl>
    <w:p>
      <w:pPr>
        <w:spacing w:after="80"/>
      </w:pPr>
    </w:p>
    <w:p>
      <w:pPr>
        <w:spacing w:after="120"/>
        <w:ind w:firstLine="0"/>
        <w:jc w:val="center"/>
      </w:pPr>
      <w:r>
        <w:rPr>
          <w:rFonts w:ascii="宋体" w:hAnsi="宋体" w:eastAsia="宋体"/>
          <w:b w:val="0"/>
          <w:sz w:val="18"/>
        </w:rPr>
        <w:t>图1  五次塌方时间线</w:t>
      </w:r>
    </w:p>
    <w:p>
      <w:pPr>
        <w:spacing w:after="120"/>
        <w:ind w:firstLine="0"/>
      </w:pPr>
      <w:r>
        <w:rPr>
          <w:rFonts w:ascii="宋体" w:hAnsi="宋体" w:eastAsia="宋体"/>
          <w:b w:val="0"/>
          <w:sz w:val="24"/>
        </w:rPr>
        <w:t>每一次"然后呢？"都是一条活路的塌方。但塌的不是能力，塌的是"产出的定义"。当旧产出不再能回答"然后呢"，你就必须重新定义什么叫"产出"。下面这张表，是我对两种产出范式的基本判断——后续四章，就是这张表的逐项展开论证：</w:t>
      </w:r>
    </w:p>
    <w:p>
      <w:pPr>
        <w:pStyle w:val="Heading2"/>
      </w:pPr>
      <w:r>
        <w:rPr>
          <w:rFonts w:ascii="黑体" w:hAnsi="黑体" w:eastAsia="黑体"/>
        </w:rPr>
        <w:t>两种范式对比：旧产出 vs 新产出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对比维度</w:t>
            </w:r>
          </w:p>
        </w:tc>
        <w:tc>
          <w:tcPr>
            <w:tcW w:type="dxa" w:w="2946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旧产出（内卷）</w:t>
            </w:r>
          </w:p>
        </w:tc>
        <w:tc>
          <w:tcPr>
            <w:tcW w:type="dxa" w:w="2946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新产出（非标）</w:t>
            </w:r>
          </w:p>
        </w:tc>
      </w:tr>
      <w:tr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论文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发了多少篇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能不能扫码即验全文</w:t>
            </w:r>
          </w:p>
        </w:tc>
      </w:tr>
      <w:tr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案例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编了多少个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能不能让学生面试时拆一个工程</w:t>
            </w:r>
          </w:p>
        </w:tc>
      </w:tr>
      <w:tr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项目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中了多少万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能不能用Agent替代人海</w:t>
            </w:r>
          </w:p>
        </w:tc>
      </w:tr>
      <w:tr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帽子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什么头衔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能不能换领域照样跑通</w:t>
            </w:r>
          </w:p>
        </w:tc>
      </w:tr>
      <w:tr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最终检验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填表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活路塌了之后，还能不能站着</w:t>
            </w:r>
          </w:p>
        </w:tc>
      </w:tr>
    </w:tbl>
    <w:p>
      <w:pPr>
        <w:spacing w:after="80"/>
      </w:pPr>
    </w:p>
    <w:p>
      <w:pPr>
        <w:spacing w:after="120"/>
        <w:ind w:firstLine="0"/>
        <w:jc w:val="center"/>
      </w:pPr>
      <w:r>
        <w:rPr>
          <w:rFonts w:ascii="宋体" w:hAnsi="宋体" w:eastAsia="宋体"/>
          <w:b w:val="0"/>
          <w:sz w:val="18"/>
        </w:rPr>
        <w:t>表1  旧产出vs新产出范式对比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</w:r>
    </w:p>
    <w:p>
      <w:pPr>
        <w:spacing w:after="120"/>
        <w:ind w:firstLine="0"/>
      </w:pPr>
      <w:r>
        <w:rPr>
          <w:rFonts w:ascii="宋体" w:hAnsi="宋体" w:eastAsia="宋体"/>
          <w:b/>
          <w:sz w:val="24"/>
        </w:rPr>
        <w:t>以下四章，按生成顺序展开。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第一章 · 故事云——把经验变成资产</w:t>
      </w:r>
    </w:p>
    <w:p>
      <w:pPr>
        <w:spacing w:after="120"/>
        <w:ind w:firstLine="0"/>
      </w:pPr>
      <w:r>
        <w:rPr>
          <w:rFonts w:ascii="宋体" w:hAnsi="宋体" w:eastAsia="宋体"/>
          <w:b w:val="0"/>
          <w:sz w:val="24"/>
        </w:rPr>
        <w:t>2003年做焚烧炉卖的是铁，2026年卖的是故事。铁会锈，故事不会。这句话不是比喻——是我花了20年才想通的一件事：工程经验如果不被写成故事，就烂在肚子里；写成故事，就成了资产。本章回答：经验怎么变成资产？资产怎么变成教学？教学怎么变成学生的竞争力？</w:t>
      </w:r>
    </w:p>
    <w:p>
      <w:pPr>
        <w:pStyle w:val="Heading2"/>
      </w:pPr>
      <w:r>
        <w:rPr>
          <w:rFonts w:ascii="黑体" w:hAnsi="黑体" w:eastAsia="黑体"/>
        </w:rPr>
        <w:t>一、从哪里来：20年工程经验的"原料仓"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2004年前后，我创办四川长城环境科学研究院，主持医疗固废处理关键技术研发（成果通过四川省科技厅省级鉴定），主导的污水处理项目经专家评估达到"国际先进水平"。凭这些积累，获评"第三届全国优秀环境科技实业家"。更重要的遗产不是证书——是12本现场工程笔记：污染治理工程的选址勘察、方案论证、施工调试、验收运维，数十个真实项目，全过程细节。这些笔记，后来成为七部纪实小说的核心素材。</w:t>
      </w:r>
    </w:p>
    <w:p>
      <w:pPr>
        <w:pStyle w:val="Heading2"/>
      </w:pPr>
      <w:r>
        <w:rPr>
          <w:rFonts w:ascii="黑体" w:hAnsi="黑体" w:eastAsia="黑体"/>
        </w:rPr>
        <w:t>二、怎么写的：纪实小说云的全景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2023年起，我以笔名"点暇斋"在QQ阅读、17K文学平台开始纪实小说连载。20年工程经验转化为7部小说，规划471回、逾200万字，日均写作量约6600字。七部小说各有错配主题，各对应特定教学周次——"一弦一课、一曲一理"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小说名称</w:t>
            </w:r>
          </w:p>
        </w:tc>
        <w:tc>
          <w:tcPr>
            <w:tcW w:type="dxa" w:w="1473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教学映射</w:t>
            </w:r>
          </w:p>
        </w:tc>
        <w:tc>
          <w:tcPr>
            <w:tcW w:type="dxa" w:w="1473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教学周</w:t>
            </w:r>
          </w:p>
        </w:tc>
        <w:tc>
          <w:tcPr>
            <w:tcW w:type="dxa" w:w="1473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错配类型</w:t>
            </w:r>
          </w:p>
        </w:tc>
        <w:tc>
          <w:tcPr>
            <w:tcW w:type="dxa" w:w="1473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平台</w:t>
            </w:r>
          </w:p>
        </w:tc>
        <w:tc>
          <w:tcPr>
            <w:tcW w:type="dxa" w:w="1473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版权</w:t>
            </w:r>
          </w:p>
        </w:tc>
      </w:tr>
      <w:tr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龙栖湾</w:t>
            </w:r>
          </w:p>
        </w:tc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S001-S003, S022-S027</w:t>
            </w:r>
          </w:p>
        </w:tc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第1-3周</w:t>
            </w:r>
          </w:p>
        </w:tc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空间错配</w:t>
            </w:r>
          </w:p>
        </w:tc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QQ阅读</w:t>
            </w:r>
          </w:p>
        </w:tc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已登记</w:t>
            </w:r>
          </w:p>
        </w:tc>
      </w:tr>
      <w:tr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梧桐巷</w:t>
            </w:r>
          </w:p>
        </w:tc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S004-S006</w:t>
            </w:r>
          </w:p>
        </w:tc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第2-3周</w:t>
            </w:r>
          </w:p>
        </w:tc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时间错配</w:t>
            </w:r>
          </w:p>
        </w:tc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QQ阅读</w:t>
            </w:r>
          </w:p>
        </w:tc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已登记</w:t>
            </w:r>
          </w:p>
        </w:tc>
      </w:tr>
      <w:tr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银杏渡</w:t>
            </w:r>
          </w:p>
        </w:tc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S007-S009</w:t>
            </w:r>
          </w:p>
        </w:tc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第3-4周</w:t>
            </w:r>
          </w:p>
        </w:tc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功能错配</w:t>
            </w:r>
          </w:p>
        </w:tc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17K文学</w:t>
            </w:r>
          </w:p>
        </w:tc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已登记</w:t>
            </w:r>
          </w:p>
        </w:tc>
      </w:tr>
      <w:tr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竹隐庐</w:t>
            </w:r>
          </w:p>
        </w:tc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S010-S012</w:t>
            </w:r>
          </w:p>
        </w:tc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第4-5周</w:t>
            </w:r>
          </w:p>
        </w:tc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主体错配</w:t>
            </w:r>
          </w:p>
        </w:tc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17K文学</w:t>
            </w:r>
          </w:p>
        </w:tc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已登记</w:t>
            </w:r>
          </w:p>
        </w:tc>
      </w:tr>
      <w:tr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柳映桥</w:t>
            </w:r>
          </w:p>
        </w:tc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S013-S015</w:t>
            </w:r>
          </w:p>
        </w:tc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第5-6周</w:t>
            </w:r>
          </w:p>
        </w:tc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价值错配</w:t>
            </w:r>
          </w:p>
        </w:tc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QQ阅读</w:t>
            </w:r>
          </w:p>
        </w:tc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已登记</w:t>
            </w:r>
          </w:p>
        </w:tc>
      </w:tr>
      <w:tr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枫落台</w:t>
            </w:r>
          </w:p>
        </w:tc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S016-S018</w:t>
            </w:r>
          </w:p>
        </w:tc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第6-7周</w:t>
            </w:r>
          </w:p>
        </w:tc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复合错配</w:t>
            </w:r>
          </w:p>
        </w:tc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待发布</w:t>
            </w:r>
          </w:p>
        </w:tc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已登记</w:t>
            </w:r>
          </w:p>
        </w:tc>
      </w:tr>
      <w:tr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松风谷</w:t>
            </w:r>
          </w:p>
        </w:tc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S019-S021</w:t>
            </w:r>
          </w:p>
        </w:tc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第7-8周</w:t>
            </w:r>
          </w:p>
        </w:tc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系统错配</w:t>
            </w:r>
          </w:p>
        </w:tc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待发布</w:t>
            </w:r>
          </w:p>
        </w:tc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已登记</w:t>
            </w:r>
          </w:p>
        </w:tc>
      </w:tr>
    </w:tbl>
    <w:p>
      <w:pPr>
        <w:spacing w:after="80"/>
      </w:pPr>
    </w:p>
    <w:p>
      <w:pPr>
        <w:spacing w:after="120"/>
        <w:ind w:firstLine="0"/>
        <w:jc w:val="center"/>
      </w:pPr>
      <w:r>
        <w:rPr>
          <w:rFonts w:ascii="宋体" w:hAnsi="宋体" w:eastAsia="宋体"/>
          <w:b w:val="0"/>
          <w:sz w:val="18"/>
        </w:rPr>
        <w:t>表2  听弦七部小说全景</w:t>
      </w:r>
    </w:p>
    <w:p>
      <w:pPr>
        <w:pStyle w:val="Heading2"/>
      </w:pPr>
      <w:r>
        <w:rPr>
          <w:rFonts w:ascii="黑体" w:hAnsi="黑体" w:eastAsia="黑体"/>
        </w:rPr>
        <w:t>三、怎么用：故事→教学的转换链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小说不是文学点缀——是知识生产结构性组件。转化链路如下：</w:t>
      </w:r>
    </w:p>
    <w:p>
      <w:pPr>
        <w:spacing w:after="120"/>
        <w:ind w:firstLine="0"/>
      </w:pPr>
      <w:r>
        <w:rPr>
          <w:rFonts w:ascii="宋体" w:hAnsi="宋体" w:eastAsia="宋体"/>
          <w:b/>
          <w:sz w:val="24"/>
        </w:rPr>
        <w:t>小说章回 → Agent-S自动拆解 → FND五段法案例（背景-冲突-决策-结局-启示） → 27个教学案例 → 学生面试时的工程判断力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"教何写何"严格对应：S022-S027对应龙栖湾第418-427回，教学需求直接驱动小说创作，而非创作后牵强附会。27个案例覆盖6教学模块×35知识群，覆盖率100%。这不是"教材+案例"的叠加，而是"故事引擎→自动拆解→精准映射"的生产线。</w:t>
      </w:r>
    </w:p>
    <w:p>
      <w:pPr>
        <w:pStyle w:val="Heading2"/>
      </w:pPr>
      <w:r>
        <w:rPr>
          <w:rFonts w:ascii="黑体" w:hAnsi="黑体" w:eastAsia="黑体"/>
        </w:rPr>
        <w:t>四、效果怎么样：归因转移数据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经过3届（2023-2026）约90名学生、1200份过程评估记录的持续验证，最令我震撼的数据是：学生在第5周时，将固废治理问题归因于"村民素质低"的比例为39%；到第8周——经过8周NFSC教学法训练后——这一比例降至7%（p&lt;0.05）。他们开始识别"便利性陷阱""反馈延迟""规范缺位"等结构性因素。不是分数变了，是看世界的框架变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768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v1.0(2023)</w:t>
            </w:r>
          </w:p>
        </w:tc>
        <w:tc>
          <w:tcPr>
            <w:tcW w:type="dxa" w:w="1768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v2.0(2025)</w:t>
            </w:r>
          </w:p>
        </w:tc>
        <w:tc>
          <w:tcPr>
            <w:tcW w:type="dxa" w:w="1768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v3.0(2026)</w:t>
            </w:r>
          </w:p>
        </w:tc>
        <w:tc>
          <w:tcPr>
            <w:tcW w:type="dxa" w:w="1768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趋势</w:t>
            </w:r>
          </w:p>
        </w:tc>
      </w:tr>
      <w:tr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性格归因占比(第5周)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39%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32%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下降</w:t>
            </w:r>
          </w:p>
        </w:tc>
      </w:tr>
      <w:tr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性格归因占比(第8周)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11%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7%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显著下降(p&lt;0.05)</w:t>
            </w:r>
          </w:p>
        </w:tc>
      </w:tr>
      <w:tr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框架术语准确使用(第4周)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23/30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27/30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提升</w:t>
            </w:r>
          </w:p>
        </w:tc>
      </w:tr>
      <w:tr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≥3维度交叉分析(第8周)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10/30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14/30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提升</w:t>
            </w:r>
          </w:p>
        </w:tc>
      </w:tr>
      <w:tr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三轨产出完成率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85%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93%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提升</w:t>
            </w:r>
          </w:p>
        </w:tc>
      </w:tr>
    </w:tbl>
    <w:p>
      <w:pPr>
        <w:spacing w:after="80"/>
      </w:pPr>
    </w:p>
    <w:p>
      <w:pPr>
        <w:spacing w:after="120"/>
        <w:ind w:firstLine="0"/>
        <w:jc w:val="center"/>
      </w:pPr>
      <w:r>
        <w:rPr>
          <w:rFonts w:ascii="宋体" w:hAnsi="宋体" w:eastAsia="宋体"/>
          <w:b w:val="0"/>
          <w:sz w:val="18"/>
        </w:rPr>
        <w:t>表3  三轮课程迭代教学效果数据</w:t>
      </w:r>
    </w:p>
    <w:p>
      <w:pPr>
        <w:pStyle w:val="Heading2"/>
      </w:pPr>
      <w:r>
        <w:rPr>
          <w:rFonts w:ascii="黑体" w:hAnsi="黑体" w:eastAsia="黑体"/>
        </w:rPr>
        <w:t>本章核心浏览页</w:t>
      </w:r>
    </w:p>
    <w:p>
      <w:pPr>
        <w:spacing w:after="40"/>
        <w:ind w:firstLine="0"/>
      </w:pPr>
      <w:r>
        <w:rPr>
          <w:rFonts w:ascii="Calibri" w:hAnsi="Calibri"/>
          <w:color w:val="336699"/>
          <w:sz w:val="18"/>
        </w:rPr>
        <w:t>听弦（七部小说总入口）  https://zhengwen69.github.io/cdu-gufei-web-demo/TingXian.html</w:t>
      </w:r>
    </w:p>
    <w:p>
      <w:pPr>
        <w:spacing w:after="40"/>
        <w:ind w:firstLine="0"/>
      </w:pPr>
      <w:r>
        <w:rPr>
          <w:rFonts w:ascii="Calibri" w:hAnsi="Calibri"/>
          <w:color w:val="336699"/>
          <w:sz w:val="18"/>
        </w:rPr>
        <w:t>全量案例映射表（27案例×35知识群）  https://zhengwen69.github.io/cdu-gufei-web-demo/industry-education/cases-full.html</w:t>
      </w:r>
    </w:p>
    <w:p>
      <w:pPr>
        <w:spacing w:after="40"/>
        <w:ind w:firstLine="0"/>
      </w:pPr>
      <w:r>
        <w:rPr>
          <w:rFonts w:ascii="Calibri" w:hAnsi="Calibri"/>
          <w:color w:val="336699"/>
          <w:sz w:val="18"/>
        </w:rPr>
        <w:t>故事云NFSC流水线  https://zhengwen69.github.io/cdu-gufei-web-demo/industry-education/pipeline.html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第二章 · 门户——让成果变成活物</w:t>
      </w:r>
    </w:p>
    <w:p>
      <w:pPr>
        <w:spacing w:after="120"/>
        <w:ind w:firstLine="0"/>
      </w:pPr>
      <w:r>
        <w:rPr>
          <w:rFonts w:ascii="宋体" w:hAnsi="宋体" w:eastAsia="宋体"/>
          <w:b w:val="0"/>
          <w:sz w:val="24"/>
        </w:rPr>
        <w:t>故事写出来了，放在哪？QQ阅读是平台，不是"我的"。我需要一个完全属于自己的数字空间——把教学、科研、申报、案例、Agent、小说——全部摊在互联网上，任何人扫码即验。本章回答：怎么用一个零服务器、零运维、零预算的门户集群，让所有产出变成活物？</w:t>
      </w:r>
    </w:p>
    <w:p>
      <w:pPr>
        <w:pStyle w:val="Heading2"/>
      </w:pPr>
      <w:r>
        <w:rPr>
          <w:rFonts w:ascii="黑体" w:hAnsi="黑体" w:eastAsia="黑体"/>
        </w:rPr>
        <w:t>一、为什么是GitHub Pages：零成本的普惠基础设施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67页HTML，全部为纯静态网页，部署于GitHub Pages，全球CDN加速。投入：零服务器费用、零运维人力、零数据库。产出：全世界任何有浏览器的地方，扫码即见。任何教师fork代码仓库即可自主部署——方法论从此成为"可自我复制的IP"。这不是"建了一个网站"，是"把产出变成了活物"。</w:t>
      </w:r>
    </w:p>
    <w:p>
      <w:pPr>
        <w:pStyle w:val="Heading2"/>
      </w:pPr>
      <w:r>
        <w:rPr>
          <w:rFonts w:ascii="黑体" w:hAnsi="黑体" w:eastAsia="黑体"/>
        </w:rPr>
        <w:t>二、门户体系全景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集群</w:t>
            </w:r>
          </w:p>
        </w:tc>
        <w:tc>
          <w:tcPr>
            <w:tcW w:type="dxa" w:w="2209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页数</w:t>
            </w:r>
          </w:p>
        </w:tc>
        <w:tc>
          <w:tcPr>
            <w:tcW w:type="dxa" w:w="2209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核心功能</w:t>
            </w:r>
          </w:p>
        </w:tc>
        <w:tc>
          <w:tcPr>
            <w:tcW w:type="dxa" w:w="2209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代表页</w:t>
            </w:r>
          </w:p>
        </w:tc>
      </w:tr>
      <w:tr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主门户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14页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教学全功能：课程·Agent·案例·社区·仪表盘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index.html</w:t>
            </w:r>
          </w:p>
        </w:tc>
      </w:tr>
      <w:tr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产教融合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4页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NFSC下沉本科：案例映射·流水线·Agent赋能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industry-education/</w:t>
            </w:r>
          </w:p>
        </w:tc>
      </w:tr>
      <w:tr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独立子门户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3站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跨域迁移实证：竹韵乐养·初中英语·无人机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CDU-Bamboo/</w:t>
            </w:r>
          </w:p>
        </w:tc>
      </w:tr>
      <w:tr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辅助功能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4页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个人主页·制度在线·迁移子页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HuangZhengwen.html</w:t>
            </w:r>
          </w:p>
        </w:tc>
      </w:tr>
    </w:tbl>
    <w:p>
      <w:pPr>
        <w:spacing w:after="80"/>
      </w:pPr>
    </w:p>
    <w:p>
      <w:pPr>
        <w:spacing w:after="120"/>
        <w:ind w:firstLine="0"/>
        <w:jc w:val="center"/>
      </w:pPr>
      <w:r>
        <w:rPr>
          <w:rFonts w:ascii="宋体" w:hAnsi="宋体" w:eastAsia="宋体"/>
          <w:b w:val="0"/>
          <w:sz w:val="18"/>
        </w:rPr>
        <w:t>表4  门户体系全景（67页·4集群）</w:t>
      </w:r>
    </w:p>
    <w:p>
      <w:pPr>
        <w:pStyle w:val="Heading2"/>
      </w:pPr>
      <w:r>
        <w:rPr>
          <w:rFonts w:ascii="黑体" w:hAnsi="黑体" w:eastAsia="黑体"/>
        </w:rPr>
        <w:t>三、三个关键页逐页解读</w:t>
      </w:r>
    </w:p>
    <w:p>
      <w:pPr>
        <w:spacing w:after="120"/>
        <w:ind w:firstLine="0"/>
      </w:pPr>
      <w:r>
        <w:rPr>
          <w:rFonts w:ascii="宋体" w:hAnsi="宋体" w:eastAsia="宋体"/>
          <w:b/>
          <w:sz w:val="24"/>
        </w:rPr>
        <w:t>① 主站首页</w:t>
      </w:r>
    </w:p>
    <w:p>
      <w:pPr>
        <w:spacing w:after="40"/>
        <w:ind w:firstLine="0"/>
      </w:pPr>
      <w:r>
        <w:rPr>
          <w:rFonts w:ascii="Calibri" w:hAnsi="Calibri"/>
          <w:color w:val="336699"/>
          <w:sz w:val="18"/>
        </w:rPr>
        <w:t>https://zhengwen69.github.io/cdu-gufei-web-demo/index.html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全系统导航中枢。课程概览、章节导航、知识导图、Agent演示、互动社区、教师仪表盘、学习园地、迁移探索——一页总览AI赋能全貌。点暇叙事、匠心教学——八字定位锚定叙事型教学IP。</w:t>
      </w:r>
    </w:p>
    <w:p>
      <w:pPr>
        <w:spacing w:after="120"/>
        <w:ind w:firstLine="0"/>
      </w:pPr>
      <w:r>
        <w:rPr>
          <w:rFonts w:ascii="宋体" w:hAnsi="宋体" w:eastAsia="宋体"/>
          <w:b/>
          <w:sz w:val="24"/>
        </w:rPr>
        <w:t>② 教研科研进展</w:t>
      </w:r>
    </w:p>
    <w:p>
      <w:pPr>
        <w:spacing w:after="40"/>
        <w:ind w:firstLine="0"/>
      </w:pPr>
      <w:r>
        <w:rPr>
          <w:rFonts w:ascii="Calibri" w:hAnsi="Calibri"/>
          <w:color w:val="336699"/>
          <w:sz w:val="18"/>
        </w:rPr>
        <w:t>https://zhengwen69.github.io/cdu-gufei-web-demo/教研科研进展.html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专著1部×论文10篇×10国10刊，全部在线可查。旧产出：申报书写"已发表XX篇"。新产出：评审点开URL，直接看每篇论文的方向、目标期刊、索引级别、投稿状态。</w:t>
      </w:r>
    </w:p>
    <w:p>
      <w:pPr>
        <w:spacing w:after="120"/>
        <w:ind w:firstLine="0"/>
      </w:pPr>
      <w:r>
        <w:rPr>
          <w:rFonts w:ascii="宋体" w:hAnsi="宋体" w:eastAsia="宋体"/>
          <w:b/>
          <w:sz w:val="24"/>
        </w:rPr>
        <w:t>③ 建设任务书</w:t>
      </w:r>
    </w:p>
    <w:p>
      <w:pPr>
        <w:spacing w:after="40"/>
        <w:ind w:firstLine="0"/>
      </w:pPr>
      <w:r>
        <w:rPr>
          <w:rFonts w:ascii="Calibri" w:hAnsi="Calibri"/>
          <w:color w:val="336699"/>
          <w:sz w:val="18"/>
        </w:rPr>
        <w:t>https://zhengwen69.github.io/cdu-gufei-web-demo/建设任务书.html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揭榜挂帅申报书：10章+11表+3图，全文HTML在线浏览+PDF下载。申报书本身即是门户的一部分——不是锁在抽屉里等评审，是摊在网上可即时验证。</w:t>
      </w:r>
    </w:p>
    <w:p>
      <w:pPr>
        <w:pStyle w:val="Heading2"/>
      </w:pPr>
      <w:r>
        <w:rPr>
          <w:rFonts w:ascii="黑体" w:hAnsi="黑体" w:eastAsia="黑体"/>
        </w:rPr>
        <w:t>四、门户的核心设计哲学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三条原则：（1）开放普惠——无须登录、无须付费、无须安装，凡有浏览器即可完整访问；（2）可复制——代码完全开源，任何教师fork即可部署；（3）自证——门户本身即论文实证。P2论文以门户架构为研究对象，P3以Agent系统为分析单元——门户不止承载IP，门户即IP。</w:t>
      </w:r>
    </w:p>
    <w:p>
      <w:pPr>
        <w:pStyle w:val="Heading2"/>
      </w:pPr>
      <w:r>
        <w:rPr>
          <w:rFonts w:ascii="黑体" w:hAnsi="黑体" w:eastAsia="黑体"/>
        </w:rPr>
        <w:t>本章核心浏览页</w:t>
      </w:r>
    </w:p>
    <w:p>
      <w:pPr>
        <w:spacing w:after="40"/>
        <w:ind w:firstLine="0"/>
      </w:pPr>
      <w:r>
        <w:rPr>
          <w:rFonts w:ascii="Calibri" w:hAnsi="Calibri"/>
          <w:color w:val="336699"/>
          <w:sz w:val="18"/>
        </w:rPr>
        <w:t>主门户首页  https://zhengwen69.github.io/cdu-gufei-web-demo/index.html</w:t>
      </w:r>
    </w:p>
    <w:p>
      <w:pPr>
        <w:spacing w:after="40"/>
        <w:ind w:firstLine="0"/>
      </w:pPr>
      <w:r>
        <w:rPr>
          <w:rFonts w:ascii="Calibri" w:hAnsi="Calibri"/>
          <w:color w:val="336699"/>
          <w:sz w:val="18"/>
        </w:rPr>
        <w:t>教研科研进展  https://zhengwen69.github.io/cdu-gufei-web-demo/教研科研进展.html</w:t>
      </w:r>
    </w:p>
    <w:p>
      <w:pPr>
        <w:spacing w:after="40"/>
        <w:ind w:firstLine="0"/>
      </w:pPr>
      <w:r>
        <w:rPr>
          <w:rFonts w:ascii="Calibri" w:hAnsi="Calibri"/>
          <w:color w:val="336699"/>
          <w:sz w:val="18"/>
        </w:rPr>
        <w:t>建设任务书  https://zhengwen69.github.io/cdu-gufei-web-demo/建设任务书.html</w:t>
      </w:r>
    </w:p>
    <w:p>
      <w:pPr>
        <w:spacing w:after="40"/>
        <w:ind w:firstLine="0"/>
      </w:pPr>
      <w:r>
        <w:rPr>
          <w:rFonts w:ascii="Calibri" w:hAnsi="Calibri"/>
          <w:color w:val="336699"/>
          <w:sz w:val="18"/>
        </w:rPr>
        <w:t>IP孵化结题报告  https://zhengwen69.github.io/cdu-gufei-web-demo/IP孵化结题报告.html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第三章 · 智能体——1个人就是一支队伍</w:t>
      </w:r>
    </w:p>
    <w:p>
      <w:pPr>
        <w:spacing w:after="120"/>
        <w:ind w:firstLine="0"/>
      </w:pPr>
      <w:r>
        <w:rPr>
          <w:rFonts w:ascii="宋体" w:hAnsi="宋体" w:eastAsia="宋体"/>
          <w:b w:val="0"/>
          <w:sz w:val="24"/>
        </w:rPr>
        <w:t>故事有了，门户有了。但一个人的时间精力是硬约束——备课、拆解案例、出题、评价、答疑……一个老师最多带3个研究生，串行手工。如果不解决产能问题，故事云和门户都只能是小作坊。本章回答：怎么用AI把自己从1个人放大到11人级产能？</w:t>
      </w:r>
    </w:p>
    <w:p>
      <w:pPr>
        <w:pStyle w:val="Heading2"/>
      </w:pPr>
      <w:r>
        <w:rPr>
          <w:rFonts w:ascii="黑体" w:hAnsi="黑体" w:eastAsia="黑体"/>
        </w:rPr>
        <w:t>一、不拼团队，拼设计：11-Agent协同体系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传统高校教学生产模式：1教师+3研究生=4人，备课→授课→批改→反馈，串行手工，线性增长。11-Agent协同体系彻底改变了这个模式——不是"让学生用ChatGPT"的粗放方案，而是基于教学流程分析精心设计的教育学角色系统。每个Agent承担不可合并的独立功能（正交性原则，经4学科迁移验证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Agent</w:t>
            </w:r>
          </w:p>
        </w:tc>
        <w:tc>
          <w:tcPr>
            <w:tcW w:type="dxa" w:w="2209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教师端角色</w:t>
            </w:r>
          </w:p>
        </w:tc>
        <w:tc>
          <w:tcPr>
            <w:tcW w:type="dxa" w:w="2209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学生端角色</w:t>
            </w:r>
          </w:p>
        </w:tc>
        <w:tc>
          <w:tcPr>
            <w:tcW w:type="dxa" w:w="2209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核心功能</w:t>
            </w:r>
          </w:p>
        </w:tc>
      </w:tr>
      <w:tr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Agent-0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质量审核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学程监理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全流程质量控制</w:t>
            </w:r>
          </w:p>
        </w:tc>
      </w:tr>
      <w:tr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Agent-1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预习引导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预习伙伴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课前预热·知识激活</w:t>
            </w:r>
          </w:p>
        </w:tc>
      </w:tr>
      <w:tr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Agent-2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素材整理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资料助手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小说→案例自动拆解</w:t>
            </w:r>
          </w:p>
        </w:tc>
      </w:tr>
      <w:tr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Agent-3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教案生成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学习规划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FND五段法结构化输出</w:t>
            </w:r>
          </w:p>
        </w:tc>
      </w:tr>
      <w:tr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Agent-S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故事化拆解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案例解读员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核心引擎：小说→教学自动化流水线</w:t>
            </w:r>
          </w:p>
        </w:tc>
      </w:tr>
      <w:tr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Agent-I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课堂互动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讨论引导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沉浸式脚本设计（EIA听证等）</w:t>
            </w:r>
          </w:p>
        </w:tc>
      </w:tr>
      <w:tr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Agent-4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作业设计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练习推荐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分层题库自动生成（≥200题）</w:t>
            </w:r>
          </w:p>
        </w:tc>
      </w:tr>
      <w:tr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Agent-5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评价反馈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学习诊断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五维错配分析·归因诊断</w:t>
            </w:r>
          </w:p>
        </w:tc>
      </w:tr>
      <w:tr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Agent-B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品牌传播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IP品牌策略输出</w:t>
            </w:r>
          </w:p>
        </w:tc>
      </w:tr>
      <w:tr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Agent-X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数据分析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进度追踪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教学日志·量化评估</w:t>
            </w:r>
          </w:p>
        </w:tc>
      </w:tr>
      <w:tr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Agent-Y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迭代优化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方法论持续升级</w:t>
            </w:r>
          </w:p>
        </w:tc>
      </w:tr>
    </w:tbl>
    <w:p>
      <w:pPr>
        <w:spacing w:after="80"/>
      </w:pPr>
    </w:p>
    <w:p>
      <w:pPr>
        <w:spacing w:after="120"/>
        <w:ind w:firstLine="0"/>
        <w:jc w:val="center"/>
      </w:pPr>
      <w:r>
        <w:rPr>
          <w:rFonts w:ascii="宋体" w:hAnsi="宋体" w:eastAsia="宋体"/>
          <w:b w:val="0"/>
          <w:sz w:val="18"/>
        </w:rPr>
        <w:t>表5  11-Agent协同体系</w:t>
      </w:r>
    </w:p>
    <w:p>
      <w:pPr>
        <w:pStyle w:val="Heading2"/>
      </w:pPr>
      <w:r>
        <w:rPr>
          <w:rFonts w:ascii="黑体" w:hAnsi="黑体" w:eastAsia="黑体"/>
        </w:rPr>
        <w:t>二、7步闭环：从预习到改进的自动化流水线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预习（Agent-1）→ 准备（Agent-2/3）→ 讲授（Agent-S/I）→ 学习（学生端Agent）→ 练习（Agent-4）→ 验证（Agent-5/X）→ 改进（Agent-Y/0）。七步成环，每步有角色、每产有审核、每轮有反馈。这不是在现有教学流程中嵌入AI工具，而是以AI为基座重新设计整个教学生产过程。</w:t>
      </w:r>
    </w:p>
    <w:p>
      <w:pPr>
        <w:pStyle w:val="Heading2"/>
      </w:pPr>
      <w:r>
        <w:rPr>
          <w:rFonts w:ascii="黑体" w:hAnsi="黑体" w:eastAsia="黑体"/>
        </w:rPr>
        <w:t>三、投入产出比：Prompt工程就是新生产线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传统模式：1个老师+3个研究生=4人产能，串行手工，产出受制于人头和时间。经费有限、团队有限——这是大部分高校教师的现实。Agent模式：1个老师×11个Agent=11人级产能，并行自动，边际成本趋零。投入：Prompt工程（一次性设计）+ API调用（按量付费）。产出：备课/拆解/出题/评价/答疑——全链条自动化。不需要985团队，不需要百万经费——Prompt工程就是博士教授的新生产线。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核心命题：AI不是替代教师，是放大教师。11个Agent角色基于教学流程分析设定，教师端9个、学生端一一映射——双向映射原则下，每个Agent在"教"和"学"两端各有一个面孔。1名教师借助11个Agent达到11人级教学产出能力，根本区别于通用AI工具的"无差别接入"。</w:t>
      </w:r>
    </w:p>
    <w:p>
      <w:pPr>
        <w:pStyle w:val="Heading2"/>
      </w:pPr>
      <w:r>
        <w:rPr>
          <w:rFonts w:ascii="黑体" w:hAnsi="黑体" w:eastAsia="黑体"/>
        </w:rPr>
        <w:t>本章核心浏览页</w:t>
      </w:r>
    </w:p>
    <w:p>
      <w:pPr>
        <w:spacing w:after="40"/>
        <w:ind w:firstLine="0"/>
      </w:pPr>
      <w:r>
        <w:rPr>
          <w:rFonts w:ascii="Calibri" w:hAnsi="Calibri"/>
          <w:color w:val="336699"/>
          <w:sz w:val="18"/>
        </w:rPr>
        <w:t>Agent团队演示  https://zhengwen69.github.io/cdu-gufei-web-demo/agent团队演示.html</w:t>
      </w:r>
    </w:p>
    <w:p>
      <w:pPr>
        <w:spacing w:after="40"/>
        <w:ind w:firstLine="0"/>
      </w:pPr>
      <w:r>
        <w:rPr>
          <w:rFonts w:ascii="Calibri" w:hAnsi="Calibri"/>
          <w:color w:val="336699"/>
          <w:sz w:val="18"/>
        </w:rPr>
        <w:t>Agent七步赋能  https://zhengwen69.github.io/cdu-gufei-web-demo/industry-education/agents.html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第四章 · 个人IP——流量时代的教授新风口</w:t>
      </w:r>
    </w:p>
    <w:p>
      <w:pPr>
        <w:spacing w:after="120"/>
        <w:ind w:firstLine="0"/>
      </w:pPr>
      <w:r>
        <w:rPr>
          <w:rFonts w:ascii="宋体" w:hAnsi="宋体" w:eastAsia="宋体"/>
          <w:b w:val="0"/>
          <w:sz w:val="24"/>
        </w:rPr>
        <w:t>故事云是原料，门户是展台，智能体是生产线——三条线汇合后，结晶出来的是一枚可迁移的个人IP。旧产出是一纸职称证书，换一个评价体系可能清零。新产出是：一个门户+一朵故事云+一套智能体+一枚个人IP——走到哪里，跟到哪里。本章回答：教授凭什么不能有"流量"？凭什么不能有"第二身份"？</w:t>
      </w:r>
    </w:p>
    <w:p>
      <w:pPr>
        <w:pStyle w:val="Heading2"/>
      </w:pPr>
      <w:r>
        <w:rPr>
          <w:rFonts w:ascii="黑体" w:hAnsi="黑体" w:eastAsia="黑体"/>
        </w:rPr>
        <w:t>一、五重身份的叠加效应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多数高校教授终其职业生涯只拥有"研究人员"单一身份。而我用了20年，完成了五次身份叠加。每一次叠加都不是"转行"，是在更高维度上重组已有资源。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时期</w:t>
            </w:r>
          </w:p>
        </w:tc>
        <w:tc>
          <w:tcPr>
            <w:tcW w:type="dxa" w:w="1768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年龄</w:t>
            </w:r>
          </w:p>
        </w:tc>
        <w:tc>
          <w:tcPr>
            <w:tcW w:type="dxa" w:w="1768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核心身份</w:t>
            </w:r>
          </w:p>
        </w:tc>
        <w:tc>
          <w:tcPr>
            <w:tcW w:type="dxa" w:w="1768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关键事件</w:t>
            </w:r>
          </w:p>
        </w:tc>
        <w:tc>
          <w:tcPr>
            <w:tcW w:type="dxa" w:w="1768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IP层积累</w:t>
            </w:r>
          </w:p>
        </w:tc>
      </w:tr>
      <w:tr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~2004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35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实业家·研究院院长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创办环保企业·12本现场笔记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工程实践层</w:t>
            </w:r>
          </w:p>
        </w:tc>
      </w:tr>
      <w:tr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~2010-14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41-45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资深教授·副院长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市政府特殊津贴·CCTV/卫视采访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公共影响力</w:t>
            </w:r>
          </w:p>
        </w:tc>
      </w:tr>
      <w:tr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~2018-19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49-50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高职执行校长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湖南软件·四川希望汽车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教育系统视野</w:t>
            </w:r>
          </w:p>
        </w:tc>
      </w:tr>
      <w:tr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~2020-23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51-54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教师·教改探索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重回成都大学·NFSC萌芽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方法论内核</w:t>
            </w:r>
          </w:p>
        </w:tc>
      </w:tr>
      <w:tr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~2024-26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55-57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教育家+作家+IP建构者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7部小说·67页门户·10篇论文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全五层建成</w:t>
            </w:r>
          </w:p>
        </w:tc>
      </w:tr>
    </w:tbl>
    <w:p>
      <w:pPr>
        <w:spacing w:after="80"/>
      </w:pPr>
    </w:p>
    <w:p>
      <w:pPr>
        <w:spacing w:after="120"/>
        <w:ind w:firstLine="0"/>
        <w:jc w:val="center"/>
      </w:pPr>
      <w:r>
        <w:rPr>
          <w:rFonts w:ascii="宋体" w:hAnsi="宋体" w:eastAsia="宋体"/>
          <w:b w:val="0"/>
          <w:sz w:val="18"/>
        </w:rPr>
        <w:t>表6  五重身份演化时间轴</w:t>
      </w:r>
    </w:p>
    <w:p>
      <w:pPr>
        <w:pStyle w:val="Heading2"/>
      </w:pPr>
      <w:r>
        <w:rPr>
          <w:rFonts w:ascii="黑体" w:hAnsi="黑体" w:eastAsia="黑体"/>
        </w:rPr>
        <w:t>二、点暇斋：一个工科博士的作家身份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点暇斋，是我在QQ阅读和17K文学平台的笔名。百度百科双词条——"黄正文"与"点暇斋"——分别对应学术身份与文学身份。7部免费连载的纪实小说、200万字+、9项版权登记——工科博士×作家=复合型IP。这不是"不务正业"。是同一套工程经验在两种语言体系中的表达：学术论文用数据说话，纪实小说用人物说话。两套语言指向同一目标——把隐性知识变成可传播的公共品。</w:t>
      </w:r>
    </w:p>
    <w:p>
      <w:pPr>
        <w:spacing w:after="40"/>
        <w:ind w:firstLine="0"/>
      </w:pPr>
      <w:r>
        <w:rPr>
          <w:rFonts w:ascii="Calibri" w:hAnsi="Calibri"/>
          <w:color w:val="336699"/>
          <w:sz w:val="18"/>
        </w:rPr>
        <w:t>百度百科·点暇斋  https://baike.baidu.com/item/点暇斋/65813278</w:t>
      </w:r>
    </w:p>
    <w:p>
      <w:pPr>
        <w:spacing w:after="40"/>
        <w:ind w:firstLine="0"/>
      </w:pPr>
      <w:r>
        <w:rPr>
          <w:rFonts w:ascii="Calibri" w:hAnsi="Calibri"/>
          <w:color w:val="336699"/>
          <w:sz w:val="18"/>
        </w:rPr>
        <w:t>百度百科·黄正文  https://baike.baidu.com/item/黄正文/5128326</w:t>
      </w:r>
    </w:p>
    <w:p>
      <w:pPr>
        <w:pStyle w:val="Heading2"/>
      </w:pPr>
      <w:r>
        <w:rPr>
          <w:rFonts w:ascii="黑体" w:hAnsi="黑体" w:eastAsia="黑体"/>
        </w:rPr>
        <w:t>三、七领域跨域迁移：个人IP的可迁移性验证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个人IP的核心壁垒不在于"在一个领域做得好"，而在于"换一个领域照样能跑通"。NFSC方法论经过了7个完全不同领域的迁移验证——从环境工程到音乐，从研究生到初中，从软件到硬件。每一次迁移都是对"个人IP可迁移性"的实证——不是讲故事，是换了场景照样出成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768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迁移案例</w:t>
            </w:r>
          </w:p>
        </w:tc>
        <w:tc>
          <w:tcPr>
            <w:tcW w:type="dxa" w:w="1768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驱动动机</w:t>
            </w:r>
          </w:p>
        </w:tc>
        <w:tc>
          <w:tcPr>
            <w:tcW w:type="dxa" w:w="1768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迁移距离</w:t>
            </w:r>
          </w:p>
        </w:tc>
        <w:tc>
          <w:tcPr>
            <w:tcW w:type="dxa" w:w="1768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验证方式</w:t>
            </w:r>
          </w:p>
        </w:tc>
      </w:tr>
      <w:tr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1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固废研究生教学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核心学科教改需求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零距离（原生）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index.html</w:t>
            </w:r>
          </w:p>
        </w:tc>
      </w:tr>
      <w:tr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2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固废本科教学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硕本贯通·教学下沉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学段适配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industry-education/</w:t>
            </w:r>
          </w:p>
        </w:tc>
      </w:tr>
      <w:tr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3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本科毕设选题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毕设指导效率提升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最小粒度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迁移探索-本科毕设选题.html</w:t>
            </w:r>
          </w:p>
        </w:tc>
      </w:tr>
      <w:tr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4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竹韵乐养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退休生活品质设计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工程→音乐·跨学科飞跃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CDU-Bamboo/</w:t>
            </w:r>
          </w:p>
        </w:tc>
      </w:tr>
      <w:tr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5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初中英语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子女教育方法探索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研究生→初中·跨学段极限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CDU-English/</w:t>
            </w:r>
          </w:p>
        </w:tc>
      </w:tr>
      <w:tr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6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无人机测绘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新技术教学整合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软件→硬件·跨媒介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CD-UAV</w:t>
            </w:r>
          </w:p>
        </w:tc>
      </w:tr>
      <w:tr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7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产教融合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产业需求倒逼教学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学→产·闭环验证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industry-education/</w:t>
            </w:r>
          </w:p>
        </w:tc>
      </w:tr>
    </w:tbl>
    <w:p>
      <w:pPr>
        <w:spacing w:after="80"/>
      </w:pPr>
    </w:p>
    <w:p>
      <w:pPr>
        <w:spacing w:after="120"/>
        <w:ind w:firstLine="0"/>
        <w:jc w:val="center"/>
      </w:pPr>
      <w:r>
        <w:rPr>
          <w:rFonts w:ascii="宋体" w:hAnsi="宋体" w:eastAsia="宋体"/>
          <w:b w:val="0"/>
          <w:sz w:val="18"/>
        </w:rPr>
        <w:t>表7  NFSC方法论七类跨域迁移验证</w:t>
      </w:r>
    </w:p>
    <w:p>
      <w:pPr>
        <w:pStyle w:val="Heading2"/>
      </w:pPr>
      <w:r>
        <w:rPr>
          <w:rFonts w:ascii="黑体" w:hAnsi="黑体" w:eastAsia="黑体"/>
        </w:rPr>
        <w:t>本章核心浏览页</w:t>
      </w:r>
    </w:p>
    <w:p>
      <w:pPr>
        <w:spacing w:after="40"/>
        <w:ind w:firstLine="0"/>
      </w:pPr>
      <w:r>
        <w:rPr>
          <w:rFonts w:ascii="Calibri" w:hAnsi="Calibri"/>
          <w:color w:val="336699"/>
          <w:sz w:val="18"/>
        </w:rPr>
        <w:t>个人学术主页  https://zhengwen69.github.io/cdu-gufei-web-demo/HuangZhengwen.html</w:t>
      </w:r>
    </w:p>
    <w:p>
      <w:pPr>
        <w:spacing w:after="40"/>
        <w:ind w:firstLine="0"/>
      </w:pPr>
      <w:r>
        <w:rPr>
          <w:rFonts w:ascii="Calibri" w:hAnsi="Calibri"/>
          <w:color w:val="336699"/>
          <w:sz w:val="18"/>
        </w:rPr>
        <w:t>课程概览（版权证书集中展示）  https://zhengwen69.github.io/cdu-gufei-web-demo/课程概览.html</w:t>
      </w:r>
    </w:p>
    <w:p>
      <w:pPr>
        <w:spacing w:after="40"/>
        <w:ind w:firstLine="0"/>
      </w:pPr>
      <w:r>
        <w:rPr>
          <w:rFonts w:ascii="Calibri" w:hAnsi="Calibri"/>
          <w:color w:val="336699"/>
          <w:sz w:val="18"/>
        </w:rPr>
        <w:t>迁移探索总枢纽  https://zhengwen69.github.io/cdu-gufei-web-demo/迁移探索.html</w:t>
      </w:r>
    </w:p>
    <w:p>
      <w:pPr>
        <w:spacing w:after="40"/>
        <w:ind w:firstLine="0"/>
      </w:pPr>
      <w:r>
        <w:rPr>
          <w:rFonts w:ascii="Calibri" w:hAnsi="Calibri"/>
          <w:color w:val="336699"/>
          <w:sz w:val="18"/>
        </w:rPr>
        <w:t>IP孵化结题报告  https://zhengwen69.github.io/cdu-gufei-web-demo/IP孵化结题报告.html</w:t>
      </w:r>
    </w:p>
    <w:p>
      <w:pPr>
        <w:spacing w:after="40"/>
        <w:ind w:firstLine="0"/>
      </w:pPr>
      <w:r>
        <w:rPr>
          <w:rFonts w:ascii="Calibri" w:hAnsi="Calibri"/>
          <w:color w:val="336699"/>
          <w:sz w:val="18"/>
        </w:rPr>
        <w:t>百度百科·黄正文  https://baike.baidu.com/item/黄正文/5128326</w:t>
      </w:r>
    </w:p>
    <w:p>
      <w:pPr>
        <w:spacing w:after="40"/>
        <w:ind w:firstLine="0"/>
      </w:pPr>
      <w:r>
        <w:rPr>
          <w:rFonts w:ascii="Calibri" w:hAnsi="Calibri"/>
          <w:color w:val="336699"/>
          <w:sz w:val="18"/>
        </w:rPr>
        <w:t>百度百科·点暇斋  https://baike.baidu.com/item/点暇斋/65813278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结语 · 回到沈院的命题</w:t>
      </w:r>
    </w:p>
    <w:p>
      <w:pPr>
        <w:spacing w:after="120"/>
        <w:ind w:firstLine="0"/>
      </w:pPr>
      <w:r>
        <w:rPr>
          <w:rFonts w:ascii="宋体" w:hAnsi="宋体" w:eastAsia="宋体"/>
          <w:b w:val="0"/>
          <w:sz w:val="24"/>
        </w:rPr>
        <w:t>现在回到沈院和肖主任给我的那道题：什么是产出导向？</w:t>
      </w:r>
    </w:p>
    <w:p>
      <w:pPr>
        <w:spacing w:after="120"/>
        <w:ind w:firstLine="0"/>
      </w:pPr>
      <w:r>
        <w:rPr>
          <w:rFonts w:ascii="宋体" w:hAnsi="宋体" w:eastAsia="宋体"/>
          <w:b w:val="0"/>
          <w:sz w:val="24"/>
        </w:rPr>
        <w:t>产出导向不是一套指标体系。不是OBE四个字母。不是一个评价表格。是当旧产出一种接一种塌方——2003年焚烧炉卖完了、环评不火了、房地产凉了、天坑专业了、论文卷不动了——你还能不能站着回答四个问题。</w:t>
      </w:r>
    </w:p>
    <w:p>
      <w:pPr>
        <w:pStyle w:val="Heading2"/>
      </w:pPr>
      <w:r>
        <w:rPr>
          <w:rFonts w:ascii="黑体" w:hAnsi="黑体" w:eastAsia="黑体"/>
        </w:rPr>
        <w:t>四个追问与回答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追问</w:t>
            </w:r>
          </w:p>
        </w:tc>
        <w:tc>
          <w:tcPr>
            <w:tcW w:type="dxa" w:w="2946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黄老师的回答</w:t>
            </w:r>
          </w:p>
        </w:tc>
        <w:tc>
          <w:tcPr>
            <w:tcW w:type="dxa" w:w="2946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验证方式</w:t>
            </w:r>
          </w:p>
        </w:tc>
      </w:tr>
      <w:tr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出口在哪？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学生：27真案例背书→高起点就业；教师：7领域迁移→随时换赛道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扫 cases-full.html / 迁移探索.html</w:t>
            </w:r>
          </w:p>
        </w:tc>
      </w:tr>
      <w:tr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目的/出发点是什么？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回到师生——老师能活，学生能走。不是填表，是两个人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扫 HuangZhengwen.html</w:t>
            </w:r>
          </w:p>
        </w:tc>
      </w:tr>
      <w:tr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投入产出比？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200万字→一次创作N次拆解；11 Agent→1人×11倍产能；边际成本趋零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扫 agent团队演示.html</w:t>
            </w:r>
          </w:p>
        </w:tc>
      </w:tr>
      <w:tr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如何有钱有闲有尊严且受学生爱戴？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不卷别人卷的那张表。画自己的表——写到版权里，摊在门户上，交给Agent跑，腾出手来陪学生拆真案例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扫全部</w:t>
            </w:r>
          </w:p>
        </w:tc>
      </w:tr>
    </w:tbl>
    <w:p>
      <w:pPr>
        <w:spacing w:after="80"/>
      </w:pPr>
    </w:p>
    <w:p>
      <w:pPr>
        <w:spacing w:after="120"/>
        <w:ind w:firstLine="0"/>
        <w:jc w:val="center"/>
      </w:pPr>
      <w:r>
        <w:rPr>
          <w:rFonts w:ascii="宋体" w:hAnsi="宋体" w:eastAsia="宋体"/>
          <w:b w:val="0"/>
          <w:sz w:val="18"/>
        </w:rPr>
        <w:t>表8  四个追问与回答</w:t>
      </w:r>
    </w:p>
    <w:p>
      <w:pPr>
        <w:pStyle w:val="Heading2"/>
      </w:pPr>
      <w:r>
        <w:rPr>
          <w:rFonts w:ascii="黑体" w:hAnsi="黑体" w:eastAsia="黑体"/>
        </w:rPr>
        <w:t>旧产出vs新产出·最终对照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旧产出（卷）</w:t>
            </w:r>
          </w:p>
        </w:tc>
        <w:tc>
          <w:tcPr>
            <w:tcW w:type="dxa" w:w="2946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新产出（非标）</w:t>
            </w:r>
          </w:p>
        </w:tc>
        <w:tc>
          <w:tcPr>
            <w:tcW w:type="dxa" w:w="2946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验证方式</w:t>
            </w:r>
          </w:p>
        </w:tc>
      </w:tr>
      <w:tr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论文发了多少篇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门户能不能扫码即验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index.html</w:t>
            </w:r>
          </w:p>
        </w:tc>
      </w:tr>
      <w:tr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案例编了多少个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故事云能不能让学生面试时拆一个工程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cases-full.html</w:t>
            </w:r>
          </w:p>
        </w:tc>
      </w:tr>
      <w:tr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项目中了多少万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智能体能不能把1人拉到11倍产能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agent团队演示.html</w:t>
            </w:r>
          </w:p>
        </w:tc>
      </w:tr>
      <w:tr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帽子是什么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个人IP能不能换一个领域照样跑通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HuangZhengwen.html</w:t>
            </w:r>
          </w:p>
        </w:tc>
      </w:tr>
    </w:tbl>
    <w:p>
      <w:pPr>
        <w:spacing w:after="80"/>
      </w:pPr>
    </w:p>
    <w:p>
      <w:pPr>
        <w:spacing w:after="120"/>
        <w:ind w:firstLine="0"/>
        <w:jc w:val="center"/>
      </w:pPr>
      <w:r>
        <w:rPr>
          <w:rFonts w:ascii="宋体" w:hAnsi="宋体" w:eastAsia="宋体"/>
          <w:b w:val="0"/>
          <w:sz w:val="18"/>
        </w:rPr>
        <w:t>表9  旧产出vs新产出·最终对照</w:t>
      </w:r>
    </w:p>
    <w:p>
      <w:pPr>
        <w:pStyle w:val="Heading2"/>
      </w:pPr>
      <w:r>
        <w:rPr>
          <w:rFonts w:ascii="黑体" w:hAnsi="黑体" w:eastAsia="黑体"/>
        </w:rPr>
        <w:t>核心数据汇总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946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数据</w:t>
            </w:r>
          </w:p>
        </w:tc>
        <w:tc>
          <w:tcPr>
            <w:tcW w:type="dxa" w:w="2946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来源/验证</w:t>
            </w:r>
          </w:p>
        </w:tc>
      </w:tr>
      <w:tr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归因转移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39%→7%（p&lt;0.05）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P7-JUTLP·3届90名学生·1200份评估</w:t>
            </w:r>
          </w:p>
        </w:tc>
      </w:tr>
      <w:tr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三轨产出完成率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85%→93%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建设任务书§2.4</w:t>
            </w:r>
          </w:p>
        </w:tc>
      </w:tr>
      <w:tr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框架术语准确使用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23/30→27/30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建设任务书§2.4</w:t>
            </w:r>
          </w:p>
        </w:tc>
      </w:tr>
      <w:tr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跨域迁移验证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7领域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迁移探索.html</w:t>
            </w:r>
          </w:p>
        </w:tc>
      </w:tr>
      <w:tr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版权登记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9项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课程概览.html</w:t>
            </w:r>
          </w:p>
        </w:tc>
      </w:tr>
      <w:tr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国际论文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10篇·10国10刊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教研科研进展.html</w:t>
            </w:r>
          </w:p>
        </w:tc>
      </w:tr>
      <w:tr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门户页数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67页·纯静态·零运维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index.html</w:t>
            </w:r>
          </w:p>
        </w:tc>
      </w:tr>
      <w:tr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小说规模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200万字+·日更6600字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TingXian.html</w:t>
            </w:r>
          </w:p>
        </w:tc>
      </w:tr>
      <w:tr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Agent体系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11角色·7步闭环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agent团队演示.html</w:t>
            </w:r>
          </w:p>
        </w:tc>
      </w:tr>
      <w:tr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IP矩阵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叙事IP×方法论IP×学术IP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IP孵化结题报告.html</w:t>
            </w:r>
          </w:p>
        </w:tc>
      </w:tr>
    </w:tbl>
    <w:p>
      <w:pPr>
        <w:spacing w:after="80"/>
      </w:pPr>
    </w:p>
    <w:p>
      <w:pPr>
        <w:spacing w:after="120"/>
        <w:ind w:firstLine="0"/>
        <w:jc w:val="center"/>
      </w:pPr>
      <w:r>
        <w:rPr>
          <w:rFonts w:ascii="宋体" w:hAnsi="宋体" w:eastAsia="宋体"/>
          <w:b w:val="0"/>
          <w:sz w:val="18"/>
        </w:rPr>
        <w:t>表10  核心数据汇总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</w:r>
    </w:p>
    <w:p>
      <w:pPr>
        <w:spacing w:after="160"/>
        <w:ind w:firstLine="0" w:left="1134"/>
      </w:pPr>
      <w:r>
        <w:rPr>
          <w:rFonts w:ascii="楷体" w:hAnsi="楷体" w:eastAsia="楷体"/>
          <w:color w:val="555555"/>
          <w:sz w:val="22"/>
        </w:rPr>
        <w:t>产出导向，就是学生高起点就业、教师高质量再就业——丝滑穿越大周期。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</w:r>
    </w:p>
    <w:p>
      <w:pPr>
        <w:spacing w:after="120"/>
        <w:ind w:firstLine="0"/>
      </w:pPr>
      <w:r>
        <w:rPr>
          <w:rFonts w:ascii="宋体" w:hAnsi="宋体" w:eastAsia="宋体"/>
          <w:b w:val="0"/>
          <w:sz w:val="24"/>
        </w:rPr>
        <w:t>——我的报告到此。作为一份"作业"，它没有宏大的理论框架，没有复杂的评价指标体系。它只是一些"因为不行所以被逼出来"的野路子——故事云、门户、智能体、个人IP。但它们有一个共同点：扫码即验，不锁抽屉。请沈院、肖主任及各位同行批评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附录 · 全部关键浏览页URL清单</w:t>
      </w:r>
    </w:p>
    <w:p>
      <w:pPr>
        <w:spacing w:after="120"/>
        <w:ind w:firstLine="0"/>
      </w:pPr>
      <w:r>
        <w:rPr>
          <w:rFonts w:ascii="宋体" w:hAnsi="宋体" w:eastAsia="宋体"/>
          <w:b w:val="0"/>
          <w:sz w:val="24"/>
        </w:rPr>
        <w:t>以下14个页面构成黄正文"四种非标新出口"的完整在线验证链路。扫任意一码，即可进入对应页面。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</w:r>
    </w:p>
    <w:p>
      <w:pPr>
        <w:spacing w:after="0"/>
        <w:ind w:firstLine="0"/>
      </w:pPr>
      <w:r>
        <w:rPr>
          <w:rFonts w:ascii="宋体" w:hAnsi="宋体" w:eastAsia="宋体"/>
          <w:b/>
          <w:sz w:val="20"/>
        </w:rPr>
        <w:t>[1] 个人学术主页</w:t>
      </w:r>
    </w:p>
    <w:p>
      <w:pPr>
        <w:spacing w:after="40"/>
        <w:ind w:firstLine="0"/>
      </w:pPr>
      <w:r>
        <w:rPr>
          <w:rFonts w:ascii="Calibri" w:hAnsi="Calibri"/>
          <w:color w:val="336699"/>
          <w:sz w:val="18"/>
        </w:rPr>
        <w:t xml:space="preserve">    https://zhengwen69.github.io/cdu-gufei-web-demo/HuangZhengwen.html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</w:r>
    </w:p>
    <w:p>
      <w:pPr>
        <w:spacing w:after="0"/>
        <w:ind w:firstLine="0"/>
      </w:pPr>
      <w:r>
        <w:rPr>
          <w:rFonts w:ascii="宋体" w:hAnsi="宋体" w:eastAsia="宋体"/>
          <w:b/>
          <w:sz w:val="20"/>
        </w:rPr>
        <w:t>[2] 主门户首页</w:t>
      </w:r>
    </w:p>
    <w:p>
      <w:pPr>
        <w:spacing w:after="40"/>
        <w:ind w:firstLine="0"/>
      </w:pPr>
      <w:r>
        <w:rPr>
          <w:rFonts w:ascii="Calibri" w:hAnsi="Calibri"/>
          <w:color w:val="336699"/>
          <w:sz w:val="18"/>
        </w:rPr>
        <w:t xml:space="preserve">    https://zhengwen69.github.io/cdu-gufei-web-demo/index.html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</w:r>
    </w:p>
    <w:p>
      <w:pPr>
        <w:spacing w:after="0"/>
        <w:ind w:firstLine="0"/>
      </w:pPr>
      <w:r>
        <w:rPr>
          <w:rFonts w:ascii="宋体" w:hAnsi="宋体" w:eastAsia="宋体"/>
          <w:b/>
          <w:sz w:val="20"/>
        </w:rPr>
        <w:t>[3] 课程概览</w:t>
      </w:r>
    </w:p>
    <w:p>
      <w:pPr>
        <w:spacing w:after="40"/>
        <w:ind w:firstLine="0"/>
      </w:pPr>
      <w:r>
        <w:rPr>
          <w:rFonts w:ascii="Calibri" w:hAnsi="Calibri"/>
          <w:color w:val="336699"/>
          <w:sz w:val="18"/>
        </w:rPr>
        <w:t xml:space="preserve">    https://zhengwen69.github.io/cdu-gufei-web-demo/课程概览.html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</w:r>
    </w:p>
    <w:p>
      <w:pPr>
        <w:spacing w:after="0"/>
        <w:ind w:firstLine="0"/>
      </w:pPr>
      <w:r>
        <w:rPr>
          <w:rFonts w:ascii="宋体" w:hAnsi="宋体" w:eastAsia="宋体"/>
          <w:b/>
          <w:sz w:val="20"/>
        </w:rPr>
        <w:t>[4] 教研科研进展</w:t>
      </w:r>
    </w:p>
    <w:p>
      <w:pPr>
        <w:spacing w:after="40"/>
        <w:ind w:firstLine="0"/>
      </w:pPr>
      <w:r>
        <w:rPr>
          <w:rFonts w:ascii="Calibri" w:hAnsi="Calibri"/>
          <w:color w:val="336699"/>
          <w:sz w:val="18"/>
        </w:rPr>
        <w:t xml:space="preserve">    https://zhengwen69.github.io/cdu-gufei-web-demo/教研科研进展.html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</w:r>
    </w:p>
    <w:p>
      <w:pPr>
        <w:spacing w:after="0"/>
        <w:ind w:firstLine="0"/>
      </w:pPr>
      <w:r>
        <w:rPr>
          <w:rFonts w:ascii="宋体" w:hAnsi="宋体" w:eastAsia="宋体"/>
          <w:b/>
          <w:sz w:val="20"/>
        </w:rPr>
        <w:t>[5] 建设任务书</w:t>
      </w:r>
    </w:p>
    <w:p>
      <w:pPr>
        <w:spacing w:after="40"/>
        <w:ind w:firstLine="0"/>
      </w:pPr>
      <w:r>
        <w:rPr>
          <w:rFonts w:ascii="Calibri" w:hAnsi="Calibri"/>
          <w:color w:val="336699"/>
          <w:sz w:val="18"/>
        </w:rPr>
        <w:t xml:space="preserve">    https://zhengwen69.github.io/cdu-gufei-web-demo/建设任务书.html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</w:r>
    </w:p>
    <w:p>
      <w:pPr>
        <w:spacing w:after="0"/>
        <w:ind w:firstLine="0"/>
      </w:pPr>
      <w:r>
        <w:rPr>
          <w:rFonts w:ascii="宋体" w:hAnsi="宋体" w:eastAsia="宋体"/>
          <w:b/>
          <w:sz w:val="20"/>
        </w:rPr>
        <w:t>[6] IP孵化结题报告</w:t>
      </w:r>
    </w:p>
    <w:p>
      <w:pPr>
        <w:spacing w:after="40"/>
        <w:ind w:firstLine="0"/>
      </w:pPr>
      <w:r>
        <w:rPr>
          <w:rFonts w:ascii="Calibri" w:hAnsi="Calibri"/>
          <w:color w:val="336699"/>
          <w:sz w:val="18"/>
        </w:rPr>
        <w:t xml:space="preserve">    https://zhengwen69.github.io/cdu-gufei-web-demo/IP孵化结题报告.html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</w:r>
    </w:p>
    <w:p>
      <w:pPr>
        <w:spacing w:after="0"/>
        <w:ind w:firstLine="0"/>
      </w:pPr>
      <w:r>
        <w:rPr>
          <w:rFonts w:ascii="宋体" w:hAnsi="宋体" w:eastAsia="宋体"/>
          <w:b/>
          <w:sz w:val="20"/>
        </w:rPr>
        <w:t>[7] 听弦（七部小说）</w:t>
      </w:r>
    </w:p>
    <w:p>
      <w:pPr>
        <w:spacing w:after="40"/>
        <w:ind w:firstLine="0"/>
      </w:pPr>
      <w:r>
        <w:rPr>
          <w:rFonts w:ascii="Calibri" w:hAnsi="Calibri"/>
          <w:color w:val="336699"/>
          <w:sz w:val="18"/>
        </w:rPr>
        <w:t xml:space="preserve">    https://zhengwen69.github.io/cdu-gufei-web-demo/TingXian.html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</w:r>
    </w:p>
    <w:p>
      <w:pPr>
        <w:spacing w:after="0"/>
        <w:ind w:firstLine="0"/>
      </w:pPr>
      <w:r>
        <w:rPr>
          <w:rFonts w:ascii="宋体" w:hAnsi="宋体" w:eastAsia="宋体"/>
          <w:b/>
          <w:sz w:val="20"/>
        </w:rPr>
        <w:t>[8] Agent团队演示</w:t>
      </w:r>
    </w:p>
    <w:p>
      <w:pPr>
        <w:spacing w:after="40"/>
        <w:ind w:firstLine="0"/>
      </w:pPr>
      <w:r>
        <w:rPr>
          <w:rFonts w:ascii="Calibri" w:hAnsi="Calibri"/>
          <w:color w:val="336699"/>
          <w:sz w:val="18"/>
        </w:rPr>
        <w:t xml:space="preserve">    https://zhengwen69.github.io/cdu-gufei-web-demo/agent团队演示.html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</w:r>
    </w:p>
    <w:p>
      <w:pPr>
        <w:spacing w:after="0"/>
        <w:ind w:firstLine="0"/>
      </w:pPr>
      <w:r>
        <w:rPr>
          <w:rFonts w:ascii="宋体" w:hAnsi="宋体" w:eastAsia="宋体"/>
          <w:b/>
          <w:sz w:val="20"/>
        </w:rPr>
        <w:t>[9] 全量案例映射表</w:t>
      </w:r>
    </w:p>
    <w:p>
      <w:pPr>
        <w:spacing w:after="40"/>
        <w:ind w:firstLine="0"/>
      </w:pPr>
      <w:r>
        <w:rPr>
          <w:rFonts w:ascii="Calibri" w:hAnsi="Calibri"/>
          <w:color w:val="336699"/>
          <w:sz w:val="18"/>
        </w:rPr>
        <w:t xml:space="preserve">    https://zhengwen69.github.io/cdu-gufei-web-demo/industry-education/cases-full.html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</w:r>
    </w:p>
    <w:p>
      <w:pPr>
        <w:spacing w:after="0"/>
        <w:ind w:firstLine="0"/>
      </w:pPr>
      <w:r>
        <w:rPr>
          <w:rFonts w:ascii="宋体" w:hAnsi="宋体" w:eastAsia="宋体"/>
          <w:b/>
          <w:sz w:val="20"/>
        </w:rPr>
        <w:t>[10] Agent七步赋能</w:t>
      </w:r>
    </w:p>
    <w:p>
      <w:pPr>
        <w:spacing w:after="40"/>
        <w:ind w:firstLine="0"/>
      </w:pPr>
      <w:r>
        <w:rPr>
          <w:rFonts w:ascii="Calibri" w:hAnsi="Calibri"/>
          <w:color w:val="336699"/>
          <w:sz w:val="18"/>
        </w:rPr>
        <w:t xml:space="preserve">    https://zhengwen69.github.io/cdu-gufei-web-demo/industry-education/agents.html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</w:r>
    </w:p>
    <w:p>
      <w:pPr>
        <w:spacing w:after="0"/>
        <w:ind w:firstLine="0"/>
      </w:pPr>
      <w:r>
        <w:rPr>
          <w:rFonts w:ascii="宋体" w:hAnsi="宋体" w:eastAsia="宋体"/>
          <w:b/>
          <w:sz w:val="20"/>
        </w:rPr>
        <w:t>[11] 故事云流水线</w:t>
      </w:r>
    </w:p>
    <w:p>
      <w:pPr>
        <w:spacing w:after="40"/>
        <w:ind w:firstLine="0"/>
      </w:pPr>
      <w:r>
        <w:rPr>
          <w:rFonts w:ascii="Calibri" w:hAnsi="Calibri"/>
          <w:color w:val="336699"/>
          <w:sz w:val="18"/>
        </w:rPr>
        <w:t xml:space="preserve">    https://zhengwen69.github.io/cdu-gufei-web-demo/industry-education/pipeline.html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</w:r>
    </w:p>
    <w:p>
      <w:pPr>
        <w:spacing w:after="0"/>
        <w:ind w:firstLine="0"/>
      </w:pPr>
      <w:r>
        <w:rPr>
          <w:rFonts w:ascii="宋体" w:hAnsi="宋体" w:eastAsia="宋体"/>
          <w:b/>
          <w:sz w:val="20"/>
        </w:rPr>
        <w:t>[12] 迁移探索</w:t>
      </w:r>
    </w:p>
    <w:p>
      <w:pPr>
        <w:spacing w:after="40"/>
        <w:ind w:firstLine="0"/>
      </w:pPr>
      <w:r>
        <w:rPr>
          <w:rFonts w:ascii="Calibri" w:hAnsi="Calibri"/>
          <w:color w:val="336699"/>
          <w:sz w:val="18"/>
        </w:rPr>
        <w:t xml:space="preserve">    https://zhengwen69.github.io/cdu-gufei-web-demo/迁移探索.html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</w:r>
    </w:p>
    <w:p>
      <w:pPr>
        <w:spacing w:after="0"/>
        <w:ind w:firstLine="0"/>
      </w:pPr>
      <w:r>
        <w:rPr>
          <w:rFonts w:ascii="宋体" w:hAnsi="宋体" w:eastAsia="宋体"/>
          <w:b/>
          <w:sz w:val="20"/>
        </w:rPr>
        <w:t>[13] 百度百科·黄正文</w:t>
      </w:r>
    </w:p>
    <w:p>
      <w:pPr>
        <w:spacing w:after="40"/>
        <w:ind w:firstLine="0"/>
      </w:pPr>
      <w:r>
        <w:rPr>
          <w:rFonts w:ascii="Calibri" w:hAnsi="Calibri"/>
          <w:color w:val="336699"/>
          <w:sz w:val="18"/>
        </w:rPr>
        <w:t xml:space="preserve">    https://baike.baidu.com/item/黄正文/5128326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</w:r>
    </w:p>
    <w:p>
      <w:pPr>
        <w:spacing w:after="0"/>
        <w:ind w:firstLine="0"/>
      </w:pPr>
      <w:r>
        <w:rPr>
          <w:rFonts w:ascii="宋体" w:hAnsi="宋体" w:eastAsia="宋体"/>
          <w:b/>
          <w:sz w:val="20"/>
        </w:rPr>
        <w:t>[14] 百度百科·点暇斋</w:t>
      </w:r>
    </w:p>
    <w:p>
      <w:pPr>
        <w:spacing w:after="40"/>
        <w:ind w:firstLine="0"/>
      </w:pPr>
      <w:r>
        <w:rPr>
          <w:rFonts w:ascii="Calibri" w:hAnsi="Calibri"/>
          <w:color w:val="336699"/>
          <w:sz w:val="18"/>
        </w:rPr>
        <w:t xml:space="preserve">    https://baike.baidu.com/item/点暇斋/65813278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