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5EA4" w14:textId="77777777" w:rsidR="00C41D95" w:rsidRDefault="00E312B2">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587596AD" w14:textId="77777777" w:rsidR="00C41D95" w:rsidRDefault="00E312B2">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32224BF5" w14:textId="77777777" w:rsidR="00C41D95" w:rsidRDefault="00E312B2">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68C8B910" w14:textId="77777777" w:rsidR="00C41D95" w:rsidRDefault="00E312B2">
      <w:r>
        <w:rPr>
          <w:rFonts w:ascii="宋体" w:eastAsia="宋体" w:hAnsi="宋体"/>
          <w:b/>
          <w:sz w:val="18"/>
        </w:rPr>
        <w:t>关键词：</w:t>
      </w:r>
      <w:r>
        <w:rPr>
          <w:rFonts w:ascii="宋体" w:eastAsia="宋体" w:hAnsi="宋体"/>
          <w:sz w:val="18"/>
        </w:rPr>
        <w:t>多智能体；协同教学；角色重塑；学伴系统；研究生课程；提示词工程</w:t>
      </w:r>
    </w:p>
    <w:p w14:paraId="77708A74" w14:textId="77777777" w:rsidR="00C41D95" w:rsidRDefault="00E312B2">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337C76B5" w14:textId="77777777" w:rsidR="00C41D95" w:rsidRDefault="00E312B2">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48E2CD41" w14:textId="77777777" w:rsidR="00C41D95" w:rsidRDefault="00E312B2">
      <w:pPr>
        <w:spacing w:after="80" w:line="360" w:lineRule="auto"/>
        <w:jc w:val="center"/>
      </w:pPr>
      <w:r>
        <w:rPr>
          <w:rFonts w:ascii="宋体" w:eastAsia="宋体" w:hAnsi="宋体"/>
          <w:sz w:val="24"/>
        </w:rPr>
        <w:t>— A Case Study of "Solid Waste Pollution Prevention and Control Technology"</w:t>
      </w:r>
    </w:p>
    <w:p w14:paraId="3FE905BD" w14:textId="77777777" w:rsidR="00C41D95" w:rsidRDefault="00E312B2">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redefined as "</w:t>
      </w:r>
      <w:r>
        <w:rPr>
          <w:rFonts w:ascii="Times New Roman" w:hAnsi="Times New Roman"/>
          <w:sz w:val="18"/>
        </w:rPr>
        <w:t>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Agent-B from br</w:t>
      </w:r>
      <w:r>
        <w:rPr>
          <w:rFonts w:ascii="Times New Roman" w:hAnsi="Times New Roman"/>
          <w:sz w:val="18"/>
        </w:rPr>
        <w:t>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698DF64E" w14:textId="77777777" w:rsidR="00C41D95" w:rsidRDefault="00E312B2">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062EF597" w14:textId="77777777" w:rsidR="00C41D95" w:rsidRDefault="00E312B2">
      <w:pPr>
        <w:spacing w:line="360" w:lineRule="auto"/>
      </w:pPr>
      <w:r>
        <w:rPr>
          <w:rFonts w:ascii="黑体" w:eastAsia="黑体" w:hAnsi="黑体"/>
          <w:b/>
          <w:sz w:val="24"/>
        </w:rPr>
        <w:t xml:space="preserve">0 </w:t>
      </w:r>
      <w:r>
        <w:rPr>
          <w:rFonts w:ascii="黑体" w:eastAsia="黑体" w:hAnsi="黑体"/>
          <w:b/>
          <w:sz w:val="24"/>
        </w:rPr>
        <w:t>引言</w:t>
      </w:r>
    </w:p>
    <w:p w14:paraId="529060DF" w14:textId="77777777" w:rsidR="00C41D95" w:rsidRDefault="00E312B2">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07E11BA3" w14:textId="77777777" w:rsidR="00C41D95" w:rsidRDefault="00E312B2">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可以组成一个协同工作体系，按照预设的流程和责任分工完成复杂的教学任务。学习伴侣（</w:t>
      </w:r>
      <w:r>
        <w:rPr>
          <w:rFonts w:ascii="宋体" w:eastAsia="宋体" w:hAnsi="宋体"/>
          <w:sz w:val="21"/>
        </w:rPr>
        <w:t>Learning Companion</w:t>
      </w:r>
      <w:r>
        <w:rPr>
          <w:rFonts w:ascii="宋体" w:eastAsia="宋体" w:hAnsi="宋体"/>
          <w:sz w:val="21"/>
        </w:rPr>
        <w:t>）的概念可追溯至</w:t>
      </w:r>
      <w:r>
        <w:rPr>
          <w:rFonts w:ascii="宋体" w:eastAsia="宋体" w:hAnsi="宋体"/>
          <w:sz w:val="21"/>
        </w:rPr>
        <w:t>Chan</w:t>
      </w:r>
      <w:r>
        <w:rPr>
          <w:rFonts w:ascii="宋体" w:eastAsia="宋体" w:hAnsi="宋体"/>
          <w:sz w:val="21"/>
        </w:rPr>
        <w:t>与</w:t>
      </w:r>
      <w:r>
        <w:rPr>
          <w:rFonts w:ascii="宋体" w:eastAsia="宋体" w:hAnsi="宋体"/>
          <w:sz w:val="21"/>
        </w:rPr>
        <w:t>Baskin</w:t>
      </w:r>
      <w:r>
        <w:rPr>
          <w:rFonts w:ascii="宋体" w:eastAsia="宋体" w:hAnsi="宋体"/>
          <w:sz w:val="15"/>
          <w:vertAlign w:val="superscript"/>
        </w:rPr>
        <w:t>[7]</w:t>
      </w:r>
      <w:r>
        <w:rPr>
          <w:rFonts w:ascii="宋体" w:eastAsia="宋体" w:hAnsi="宋体"/>
          <w:sz w:val="21"/>
        </w:rPr>
        <w:t>（</w:t>
      </w:r>
      <w:r>
        <w:rPr>
          <w:rFonts w:ascii="宋体" w:eastAsia="宋体" w:hAnsi="宋体"/>
          <w:sz w:val="21"/>
        </w:rPr>
        <w:t>1988</w:t>
      </w:r>
      <w:r>
        <w:rPr>
          <w:rFonts w:ascii="宋体" w:eastAsia="宋体" w:hAnsi="宋体"/>
          <w:sz w:val="21"/>
        </w:rPr>
        <w:t>）提出的计算机作为学习同伴的设计理念，</w:t>
      </w:r>
      <w:r>
        <w:rPr>
          <w:rFonts w:ascii="宋体" w:eastAsia="宋体" w:hAnsi="宋体"/>
          <w:sz w:val="21"/>
        </w:rPr>
        <w:t>Chou</w:t>
      </w:r>
      <w:r>
        <w:rPr>
          <w:rFonts w:ascii="宋体" w:eastAsia="宋体" w:hAnsi="宋体"/>
          <w:sz w:val="21"/>
        </w:rPr>
        <w:t>等人</w:t>
      </w:r>
      <w:r>
        <w:rPr>
          <w:rFonts w:ascii="宋体" w:eastAsia="宋体" w:hAnsi="宋体"/>
          <w:sz w:val="15"/>
          <w:vertAlign w:val="superscript"/>
        </w:rPr>
        <w:t>[8]</w:t>
      </w:r>
      <w:r>
        <w:rPr>
          <w:rFonts w:ascii="宋体" w:eastAsia="宋体" w:hAnsi="宋体"/>
          <w:sz w:val="21"/>
        </w:rPr>
        <w:t>（</w:t>
      </w:r>
      <w:r>
        <w:rPr>
          <w:rFonts w:ascii="宋体" w:eastAsia="宋体" w:hAnsi="宋体"/>
          <w:sz w:val="21"/>
        </w:rPr>
        <w:t>2003</w:t>
      </w:r>
      <w:r>
        <w:rPr>
          <w:rFonts w:ascii="宋体" w:eastAsia="宋体" w:hAnsi="宋体"/>
          <w:sz w:val="21"/>
        </w:rPr>
        <w:t>）将其重新定义为具有多重角色的教育代理人。近年来，随着大语言模型的发展，生成式代理人</w:t>
      </w:r>
      <w:r>
        <w:rPr>
          <w:rFonts w:ascii="宋体" w:eastAsia="宋体" w:hAnsi="宋体"/>
          <w:sz w:val="15"/>
          <w:vertAlign w:val="superscript"/>
        </w:rPr>
        <w:t>[9]</w:t>
      </w:r>
      <w:r>
        <w:rPr>
          <w:rFonts w:ascii="宋体" w:eastAsia="宋体" w:hAnsi="宋体"/>
          <w:sz w:val="21"/>
        </w:rPr>
        <w:t>（</w:t>
      </w:r>
      <w:r>
        <w:rPr>
          <w:rFonts w:ascii="宋体" w:eastAsia="宋体" w:hAnsi="宋体"/>
          <w:sz w:val="21"/>
        </w:rPr>
        <w:t>Park</w:t>
      </w:r>
      <w:r>
        <w:rPr>
          <w:rFonts w:ascii="宋体" w:eastAsia="宋体" w:hAnsi="宋体"/>
          <w:sz w:val="21"/>
        </w:rPr>
        <w:t>等，</w:t>
      </w:r>
      <w:r>
        <w:rPr>
          <w:rFonts w:ascii="宋体" w:eastAsia="宋体" w:hAnsi="宋体"/>
          <w:sz w:val="21"/>
        </w:rPr>
        <w:t>2023</w:t>
      </w:r>
      <w:r>
        <w:rPr>
          <w:rFonts w:ascii="宋体" w:eastAsia="宋体" w:hAnsi="宋体"/>
          <w:sz w:val="21"/>
        </w:rPr>
        <w:t>）和多智能体协作系统</w:t>
      </w:r>
      <w:r>
        <w:rPr>
          <w:rFonts w:ascii="宋体" w:eastAsia="宋体" w:hAnsi="宋体"/>
          <w:sz w:val="15"/>
          <w:vertAlign w:val="superscript"/>
        </w:rPr>
        <w:t>[10]</w:t>
      </w:r>
      <w:r>
        <w:rPr>
          <w:rFonts w:ascii="宋体" w:eastAsia="宋体" w:hAnsi="宋体"/>
          <w:sz w:val="21"/>
        </w:rPr>
        <w:t>（陈凯泉等，</w:t>
      </w:r>
      <w:r>
        <w:rPr>
          <w:rFonts w:ascii="宋体" w:eastAsia="宋体" w:hAnsi="宋体"/>
          <w:sz w:val="21"/>
        </w:rPr>
        <w:t>2022</w:t>
      </w:r>
      <w:r>
        <w:rPr>
          <w:rFonts w:ascii="宋体" w:eastAsia="宋体" w:hAnsi="宋体"/>
          <w:sz w:val="21"/>
        </w:rPr>
        <w:t>）为这一领域注入了新的技术可能性。本研究的双向映射方法论在学习伴侣研究的谱系中的差异化贡献在于：不仅将</w:t>
      </w:r>
      <w:r>
        <w:rPr>
          <w:rFonts w:ascii="宋体" w:eastAsia="宋体" w:hAnsi="宋体"/>
          <w:sz w:val="21"/>
        </w:rPr>
        <w:t>Agent</w:t>
      </w:r>
      <w:r>
        <w:rPr>
          <w:rFonts w:ascii="宋体" w:eastAsia="宋体" w:hAnsi="宋体"/>
          <w:sz w:val="21"/>
        </w:rPr>
        <w:t>定义为学习者的同伴，而是提供了一套系统的角色重新参数化方法，使得同一套代理人编号和知识基础能够在教师与学生两种使用者上下文中重新参数化。自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[11]</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[12]</w:t>
      </w:r>
      <w:r>
        <w:rPr>
          <w:rFonts w:ascii="宋体" w:eastAsia="宋体" w:hAnsi="宋体"/>
          <w:sz w:val="21"/>
        </w:rPr>
        <w:t>与教育新基建</w:t>
      </w:r>
      <w:r>
        <w:rPr>
          <w:rFonts w:ascii="宋体" w:eastAsia="宋体" w:hAnsi="宋体"/>
          <w:sz w:val="15"/>
          <w:vertAlign w:val="superscript"/>
        </w:rPr>
        <w:t>[13]</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[14]</w:t>
      </w:r>
      <w:r>
        <w:rPr>
          <w:rFonts w:ascii="宋体" w:eastAsia="宋体" w:hAnsi="宋体"/>
          <w:sz w:val="21"/>
        </w:rPr>
        <w:t>。</w:t>
      </w:r>
    </w:p>
    <w:p w14:paraId="61EE00C6" w14:textId="77777777" w:rsidR="00C41D95" w:rsidRDefault="00E312B2">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02A08D7E" w14:textId="77777777" w:rsidR="00C41D95" w:rsidRDefault="00E312B2">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6460BAEA" w14:textId="77777777" w:rsidR="00C41D95" w:rsidRDefault="00E312B2">
      <w:pPr>
        <w:spacing w:after="120" w:line="360" w:lineRule="auto"/>
      </w:pPr>
      <w:r>
        <w:rPr>
          <w:rFonts w:ascii="黑体" w:eastAsia="黑体" w:hAnsi="黑体"/>
          <w:b/>
        </w:rPr>
        <w:t xml:space="preserve">1.1 </w:t>
      </w:r>
      <w:r>
        <w:rPr>
          <w:rFonts w:ascii="黑体" w:eastAsia="黑体" w:hAnsi="黑体"/>
          <w:b/>
        </w:rPr>
        <w:t>体系设计理念</w:t>
      </w:r>
    </w:p>
    <w:p w14:paraId="6DEFA04A" w14:textId="77777777" w:rsidR="00C41D95" w:rsidRDefault="00E312B2">
      <w:pPr>
        <w:spacing w:after="80" w:line="360" w:lineRule="auto"/>
        <w:ind w:firstLine="420"/>
      </w:pPr>
      <w:r>
        <w:rPr>
          <w:rFonts w:ascii="宋体" w:eastAsia="宋体" w:hAnsi="宋体"/>
          <w:sz w:val="21"/>
        </w:rPr>
        <w:t>Agent</w:t>
      </w:r>
      <w:r>
        <w:rPr>
          <w:rFonts w:ascii="宋体" w:eastAsia="宋体" w:hAnsi="宋体"/>
          <w:sz w:val="21"/>
        </w:rPr>
        <w:t>数量的确定基于固废课程教学全生命周期的关键环节分解：素材管理、文档生成、讲稿设计、作业编制、质量监控、案例拆解、场景设计、品牌输出、学情分析</w:t>
      </w:r>
      <w:r>
        <w:rPr>
          <w:rFonts w:ascii="宋体" w:eastAsia="宋体" w:hAnsi="宋体"/>
          <w:sz w:val="21"/>
        </w:rPr>
        <w:t>——</w:t>
      </w:r>
      <w:r>
        <w:rPr>
          <w:rFonts w:ascii="宋体" w:eastAsia="宋体" w:hAnsi="宋体"/>
          <w:sz w:val="21"/>
        </w:rPr>
        <w:t>每一环节对应一个专职</w:t>
      </w:r>
      <w:r>
        <w:rPr>
          <w:rFonts w:ascii="宋体" w:eastAsia="宋体" w:hAnsi="宋体"/>
          <w:sz w:val="21"/>
        </w:rPr>
        <w:t>Agent</w:t>
      </w:r>
      <w:r>
        <w:rPr>
          <w:rFonts w:ascii="宋体" w:eastAsia="宋体" w:hAnsi="宋体"/>
          <w:sz w:val="21"/>
        </w:rPr>
        <w:t>，共计九个。这一分解逻辑与工程教育中</w:t>
      </w:r>
      <w:r>
        <w:rPr>
          <w:rFonts w:ascii="宋体" w:eastAsia="宋体" w:hAnsi="宋体"/>
          <w:sz w:val="21"/>
        </w:rPr>
        <w:t>OBE</w:t>
      </w:r>
      <w:r>
        <w:rPr>
          <w:rFonts w:ascii="宋体" w:eastAsia="宋体" w:hAnsi="宋体"/>
          <w:sz w:val="21"/>
        </w:rPr>
        <w:t>课程目标达成度评价的環节粒度保持一致，确保代理人角色覆盖教学产出的全链条而无重复或遗漏。</w:t>
      </w: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1CE51C57" w14:textId="77777777" w:rsidR="00C41D95" w:rsidRDefault="00E312B2">
      <w:pPr>
        <w:spacing w:after="120" w:line="360" w:lineRule="auto"/>
      </w:pPr>
      <w:r>
        <w:rPr>
          <w:rFonts w:ascii="黑体" w:eastAsia="黑体" w:hAnsi="黑体"/>
          <w:b/>
        </w:rPr>
        <w:t>1.2 Agent</w:t>
      </w:r>
      <w:r>
        <w:rPr>
          <w:rFonts w:ascii="黑体" w:eastAsia="黑体" w:hAnsi="黑体"/>
          <w:b/>
        </w:rPr>
        <w:t>角色定义</w:t>
      </w:r>
    </w:p>
    <w:p w14:paraId="1C7CE6FC" w14:textId="77777777" w:rsidR="00C41D95" w:rsidRDefault="00E312B2">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7EB61FEB" w14:textId="77777777" w:rsidR="00C41D95" w:rsidRDefault="00E312B2">
      <w:pPr>
        <w:spacing w:after="80" w:line="360" w:lineRule="auto"/>
        <w:ind w:firstLine="420"/>
      </w:pPr>
      <w:r>
        <w:rPr>
          <w:rFonts w:ascii="宋体" w:eastAsia="宋体" w:hAnsi="宋体"/>
          <w:sz w:val="21"/>
        </w:rPr>
        <w:lastRenderedPageBreak/>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2BF37A6D" w14:textId="77777777" w:rsidR="00C41D95" w:rsidRDefault="00E312B2">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36AC6B69" w14:textId="77777777" w:rsidR="00C41D95" w:rsidRDefault="00E312B2">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0FA15D62" w14:textId="77777777" w:rsidR="00C41D95" w:rsidRDefault="00E312B2">
      <w:pPr>
        <w:spacing w:after="80" w:line="360" w:lineRule="auto"/>
        <w:ind w:firstLine="420"/>
      </w:pPr>
      <w:r>
        <w:rPr>
          <w:rFonts w:ascii="宋体" w:eastAsia="宋体" w:hAnsi="宋体"/>
          <w:sz w:val="21"/>
        </w:rPr>
        <w:t>Agent-5</w:t>
      </w:r>
      <w:r>
        <w:rPr>
          <w:rFonts w:ascii="宋体" w:eastAsia="宋体" w:hAnsi="宋体"/>
          <w:sz w:val="21"/>
        </w:rPr>
        <w:t>（教研教改与质量监控）：基于成绩数据和教学反馈计算课程目标达成度，撰写教学反思与持续改进报告，辅助教改项目申报。</w:t>
      </w:r>
    </w:p>
    <w:p w14:paraId="3C8841F5" w14:textId="77777777" w:rsidR="00C41D95" w:rsidRDefault="00E312B2">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5257272C" w14:textId="77777777" w:rsidR="00C41D95" w:rsidRDefault="00E312B2">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7486B4A6" w14:textId="77777777" w:rsidR="00C41D95" w:rsidRDefault="00E312B2">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6ECD3332" w14:textId="77777777" w:rsidR="00C41D95" w:rsidRDefault="00E312B2">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5131FEC6" w14:textId="77777777" w:rsidR="00C41D95" w:rsidRDefault="00E312B2">
      <w:pPr>
        <w:spacing w:before="160" w:after="40"/>
        <w:jc w:val="center"/>
      </w:pPr>
      <w:r>
        <w:rPr>
          <w:noProof/>
        </w:rPr>
        <w:drawing>
          <wp:inline distT="0" distB="0" distL="0" distR="0" wp14:anchorId="36F14895" wp14:editId="617A4688">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0607C448" w14:textId="77777777" w:rsidR="00C41D95" w:rsidRDefault="00E312B2">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7301A32B" w14:textId="77777777" w:rsidR="00C41D95" w:rsidRDefault="00E312B2">
      <w:pPr>
        <w:spacing w:after="120" w:line="360" w:lineRule="auto"/>
      </w:pPr>
      <w:r>
        <w:rPr>
          <w:rFonts w:ascii="黑体" w:eastAsia="黑体" w:hAnsi="黑体"/>
          <w:b/>
        </w:rPr>
        <w:t xml:space="preserve">1.3 </w:t>
      </w:r>
      <w:r>
        <w:rPr>
          <w:rFonts w:ascii="黑体" w:eastAsia="黑体" w:hAnsi="黑体"/>
          <w:b/>
        </w:rPr>
        <w:t>技术架构与提示词设计</w:t>
      </w:r>
    </w:p>
    <w:p w14:paraId="20DD9E7C" w14:textId="77777777" w:rsidR="00C41D95" w:rsidRDefault="00E312B2">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[15]</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[16,17]</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[18,19]</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[20][21]</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7115CA3E" w14:textId="77777777" w:rsidR="00C41D95" w:rsidRDefault="00E312B2">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[22]</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w:t>
      </w:r>
      <w:r>
        <w:rPr>
          <w:rFonts w:ascii="宋体" w:eastAsia="宋体" w:hAnsi="宋体"/>
          <w:sz w:val="21"/>
        </w:rPr>
        <w:lastRenderedPageBreak/>
        <w:t>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6BFCAC80" w14:textId="77777777" w:rsidR="00C41D95" w:rsidRDefault="00E312B2">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[22]</w:t>
      </w:r>
      <w:r>
        <w:rPr>
          <w:rFonts w:ascii="宋体" w:eastAsia="宋体" w:hAnsi="宋体"/>
          <w:sz w:val="21"/>
        </w:rPr>
        <w:t>。</w:t>
      </w:r>
    </w:p>
    <w:p w14:paraId="57728DA1" w14:textId="77777777" w:rsidR="00C41D95" w:rsidRDefault="00E312B2">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[15,7]</w:t>
      </w:r>
      <w:r>
        <w:rPr>
          <w:rFonts w:ascii="宋体" w:eastAsia="宋体" w:hAnsi="宋体"/>
          <w:sz w:val="21"/>
        </w:rPr>
        <w:t>。</w:t>
      </w:r>
    </w:p>
    <w:p w14:paraId="60B03F50" w14:textId="77777777" w:rsidR="00C41D95" w:rsidRDefault="00E312B2">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6479DA7E" w14:textId="77777777" w:rsidR="00C41D95" w:rsidRDefault="00E312B2">
      <w:pPr>
        <w:spacing w:after="120" w:line="360" w:lineRule="auto"/>
      </w:pPr>
      <w:r>
        <w:rPr>
          <w:rFonts w:ascii="黑体" w:eastAsia="黑体" w:hAnsi="黑体"/>
          <w:b/>
        </w:rPr>
        <w:t xml:space="preserve">2.1 </w:t>
      </w:r>
      <w:r>
        <w:rPr>
          <w:rFonts w:ascii="黑体" w:eastAsia="黑体" w:hAnsi="黑体"/>
          <w:b/>
        </w:rPr>
        <w:t>角色重塑的三条设计原则</w:t>
      </w:r>
    </w:p>
    <w:p w14:paraId="31C00C56" w14:textId="77777777" w:rsidR="00C41D95" w:rsidRDefault="00E312B2">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2FA5FCAF" w14:textId="77777777" w:rsidR="00C41D95" w:rsidRDefault="00E312B2">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0DDB9D52" w14:textId="77777777" w:rsidR="00C41D95" w:rsidRDefault="00E312B2">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3D2EFACD" w14:textId="77777777" w:rsidR="00C41D95" w:rsidRDefault="00E312B2">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w:t>
      </w:r>
      <w:r>
        <w:rPr>
          <w:rFonts w:ascii="宋体" w:eastAsia="宋体" w:hAnsi="宋体"/>
          <w:sz w:val="21"/>
        </w:rPr>
        <w:lastRenderedPageBreak/>
        <w:t>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4E586429" w14:textId="77777777" w:rsidR="00C41D95" w:rsidRDefault="00E312B2">
      <w:pPr>
        <w:spacing w:before="160" w:after="40"/>
        <w:jc w:val="center"/>
      </w:pPr>
      <w:r>
        <w:rPr>
          <w:noProof/>
        </w:rPr>
        <w:drawing>
          <wp:inline distT="0" distB="0" distL="0" distR="0" wp14:anchorId="2AF0C2DF" wp14:editId="7170BB54">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300762FF" w14:textId="77777777" w:rsidR="00C41D95" w:rsidRDefault="00E312B2">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266D8BE8" w14:textId="77777777" w:rsidR="00C41D95" w:rsidRDefault="00E312B2">
      <w:pPr>
        <w:spacing w:after="120" w:line="360" w:lineRule="auto"/>
      </w:pPr>
      <w:r>
        <w:rPr>
          <w:rFonts w:ascii="黑体" w:eastAsia="黑体" w:hAnsi="黑体"/>
          <w:b/>
        </w:rPr>
        <w:t>2.2 9-Agent</w:t>
      </w:r>
      <w:r>
        <w:rPr>
          <w:rFonts w:ascii="黑体" w:eastAsia="黑体" w:hAnsi="黑体"/>
          <w:b/>
        </w:rPr>
        <w:t>双向映射表</w:t>
      </w:r>
    </w:p>
    <w:p w14:paraId="539D10C2" w14:textId="77777777" w:rsidR="00C41D95" w:rsidRDefault="00E312B2">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C41D95" w14:paraId="275B8F25" w14:textId="77777777">
        <w:tc>
          <w:tcPr>
            <w:tcW w:w="2409" w:type="dxa"/>
            <w:tcBorders>
              <w:top w:val="single" w:sz="12" w:space="0" w:color="auto"/>
              <w:left w:val="nil"/>
              <w:bottom w:val="single" w:sz="6" w:space="0" w:color="auto"/>
              <w:right w:val="nil"/>
            </w:tcBorders>
          </w:tcPr>
          <w:p w14:paraId="4B98B546" w14:textId="77777777" w:rsidR="00C41D95" w:rsidRDefault="00E312B2">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3C6F0D41" w14:textId="77777777" w:rsidR="00C41D95" w:rsidRDefault="00E312B2">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0B5C53C1" w14:textId="77777777" w:rsidR="00C41D95" w:rsidRDefault="00E312B2">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7005BE1F" w14:textId="77777777" w:rsidR="00C41D95" w:rsidRDefault="00E312B2">
            <w:pPr>
              <w:spacing w:before="40" w:after="40"/>
            </w:pPr>
            <w:r>
              <w:rPr>
                <w:rFonts w:ascii="宋体" w:eastAsia="宋体" w:hAnsi="宋体"/>
                <w:b/>
                <w:sz w:val="15"/>
              </w:rPr>
              <w:t>角色重塑的核心转变</w:t>
            </w:r>
          </w:p>
        </w:tc>
      </w:tr>
      <w:tr w:rsidR="00C41D95" w14:paraId="00A922E9" w14:textId="77777777">
        <w:tc>
          <w:tcPr>
            <w:tcW w:w="2409" w:type="dxa"/>
            <w:tcBorders>
              <w:top w:val="nil"/>
              <w:left w:val="nil"/>
              <w:bottom w:val="nil"/>
              <w:right w:val="nil"/>
            </w:tcBorders>
          </w:tcPr>
          <w:p w14:paraId="7E8F36DC" w14:textId="77777777" w:rsidR="00C41D95" w:rsidRDefault="00E312B2">
            <w:pPr>
              <w:spacing w:before="40" w:after="40"/>
            </w:pPr>
            <w:r>
              <w:rPr>
                <w:rFonts w:ascii="宋体" w:eastAsia="宋体" w:hAnsi="宋体"/>
                <w:sz w:val="15"/>
              </w:rPr>
              <w:t>Agent-0</w:t>
            </w:r>
          </w:p>
        </w:tc>
        <w:tc>
          <w:tcPr>
            <w:tcW w:w="2409" w:type="dxa"/>
            <w:tcBorders>
              <w:top w:val="nil"/>
              <w:left w:val="nil"/>
              <w:bottom w:val="nil"/>
              <w:right w:val="nil"/>
            </w:tcBorders>
          </w:tcPr>
          <w:p w14:paraId="57388D82" w14:textId="77777777" w:rsidR="00C41D95" w:rsidRDefault="00E312B2">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2F998A2C" w14:textId="77777777" w:rsidR="00C41D95" w:rsidRDefault="00E312B2">
            <w:pPr>
              <w:spacing w:before="40" w:after="40"/>
            </w:pPr>
            <w:r>
              <w:rPr>
                <w:rFonts w:ascii="宋体" w:eastAsia="宋体" w:hAnsi="宋体"/>
                <w:sz w:val="15"/>
              </w:rPr>
              <w:t>学程监理</w:t>
            </w:r>
          </w:p>
        </w:tc>
        <w:tc>
          <w:tcPr>
            <w:tcW w:w="2409" w:type="dxa"/>
            <w:tcBorders>
              <w:top w:val="nil"/>
              <w:left w:val="nil"/>
              <w:bottom w:val="nil"/>
              <w:right w:val="nil"/>
            </w:tcBorders>
          </w:tcPr>
          <w:p w14:paraId="30567A93"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C41D95" w14:paraId="6B5310D9" w14:textId="77777777">
        <w:tc>
          <w:tcPr>
            <w:tcW w:w="2409" w:type="dxa"/>
            <w:tcBorders>
              <w:top w:val="nil"/>
              <w:left w:val="nil"/>
              <w:bottom w:val="nil"/>
              <w:right w:val="nil"/>
            </w:tcBorders>
          </w:tcPr>
          <w:p w14:paraId="73ACFF63" w14:textId="77777777" w:rsidR="00C41D95" w:rsidRDefault="00E312B2">
            <w:pPr>
              <w:spacing w:before="40" w:after="40"/>
            </w:pPr>
            <w:r>
              <w:rPr>
                <w:rFonts w:ascii="宋体" w:eastAsia="宋体" w:hAnsi="宋体"/>
                <w:sz w:val="15"/>
              </w:rPr>
              <w:t>Agent-1</w:t>
            </w:r>
          </w:p>
        </w:tc>
        <w:tc>
          <w:tcPr>
            <w:tcW w:w="2409" w:type="dxa"/>
            <w:tcBorders>
              <w:top w:val="nil"/>
              <w:left w:val="nil"/>
              <w:bottom w:val="nil"/>
              <w:right w:val="nil"/>
            </w:tcBorders>
          </w:tcPr>
          <w:p w14:paraId="4ECE6264" w14:textId="77777777" w:rsidR="00C41D95" w:rsidRDefault="00E312B2">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5EA16B38" w14:textId="77777777" w:rsidR="00C41D95" w:rsidRDefault="00E312B2">
            <w:pPr>
              <w:spacing w:before="40" w:after="40"/>
            </w:pPr>
            <w:r>
              <w:rPr>
                <w:rFonts w:ascii="宋体" w:eastAsia="宋体" w:hAnsi="宋体"/>
                <w:sz w:val="15"/>
              </w:rPr>
              <w:t>资料导航员</w:t>
            </w:r>
          </w:p>
        </w:tc>
        <w:tc>
          <w:tcPr>
            <w:tcW w:w="2409" w:type="dxa"/>
            <w:tcBorders>
              <w:top w:val="nil"/>
              <w:left w:val="nil"/>
              <w:bottom w:val="nil"/>
              <w:right w:val="nil"/>
            </w:tcBorders>
          </w:tcPr>
          <w:p w14:paraId="719B3BD3"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C41D95" w14:paraId="0574A2A0" w14:textId="77777777">
        <w:tc>
          <w:tcPr>
            <w:tcW w:w="2409" w:type="dxa"/>
            <w:tcBorders>
              <w:top w:val="nil"/>
              <w:left w:val="nil"/>
              <w:bottom w:val="nil"/>
              <w:right w:val="nil"/>
            </w:tcBorders>
          </w:tcPr>
          <w:p w14:paraId="6CBA5721" w14:textId="77777777" w:rsidR="00C41D95" w:rsidRDefault="00E312B2">
            <w:pPr>
              <w:spacing w:before="40" w:after="40"/>
            </w:pPr>
            <w:r>
              <w:rPr>
                <w:rFonts w:ascii="宋体" w:eastAsia="宋体" w:hAnsi="宋体"/>
                <w:sz w:val="15"/>
              </w:rPr>
              <w:t>Agent-2</w:t>
            </w:r>
          </w:p>
        </w:tc>
        <w:tc>
          <w:tcPr>
            <w:tcW w:w="2409" w:type="dxa"/>
            <w:tcBorders>
              <w:top w:val="nil"/>
              <w:left w:val="nil"/>
              <w:bottom w:val="nil"/>
              <w:right w:val="nil"/>
            </w:tcBorders>
          </w:tcPr>
          <w:p w14:paraId="43AD8865" w14:textId="77777777" w:rsidR="00C41D95" w:rsidRDefault="00E312B2">
            <w:pPr>
              <w:spacing w:before="40" w:after="40"/>
            </w:pPr>
            <w:r>
              <w:rPr>
                <w:rFonts w:ascii="宋体" w:eastAsia="宋体" w:hAnsi="宋体"/>
                <w:sz w:val="15"/>
              </w:rPr>
              <w:t>教学文档生成</w:t>
            </w:r>
          </w:p>
        </w:tc>
        <w:tc>
          <w:tcPr>
            <w:tcW w:w="2409" w:type="dxa"/>
            <w:tcBorders>
              <w:top w:val="nil"/>
              <w:left w:val="nil"/>
              <w:bottom w:val="nil"/>
              <w:right w:val="nil"/>
            </w:tcBorders>
          </w:tcPr>
          <w:p w14:paraId="73566AD2" w14:textId="77777777" w:rsidR="00C41D95" w:rsidRDefault="00E312B2">
            <w:pPr>
              <w:spacing w:before="40" w:after="40"/>
            </w:pPr>
            <w:r>
              <w:rPr>
                <w:rFonts w:ascii="宋体" w:eastAsia="宋体" w:hAnsi="宋体"/>
                <w:sz w:val="15"/>
              </w:rPr>
              <w:t>知识梳理员</w:t>
            </w:r>
          </w:p>
        </w:tc>
        <w:tc>
          <w:tcPr>
            <w:tcW w:w="2409" w:type="dxa"/>
            <w:tcBorders>
              <w:top w:val="nil"/>
              <w:left w:val="nil"/>
              <w:bottom w:val="nil"/>
              <w:right w:val="nil"/>
            </w:tcBorders>
          </w:tcPr>
          <w:p w14:paraId="554CFC37"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C41D95" w14:paraId="36FDA7EB" w14:textId="77777777">
        <w:tc>
          <w:tcPr>
            <w:tcW w:w="2409" w:type="dxa"/>
            <w:tcBorders>
              <w:top w:val="nil"/>
              <w:left w:val="nil"/>
              <w:bottom w:val="nil"/>
              <w:right w:val="nil"/>
            </w:tcBorders>
          </w:tcPr>
          <w:p w14:paraId="668F8307" w14:textId="77777777" w:rsidR="00C41D95" w:rsidRDefault="00E312B2">
            <w:pPr>
              <w:spacing w:before="40" w:after="40"/>
            </w:pPr>
            <w:r>
              <w:rPr>
                <w:rFonts w:ascii="宋体" w:eastAsia="宋体" w:hAnsi="宋体"/>
                <w:sz w:val="15"/>
              </w:rPr>
              <w:t>Agent-3</w:t>
            </w:r>
          </w:p>
        </w:tc>
        <w:tc>
          <w:tcPr>
            <w:tcW w:w="2409" w:type="dxa"/>
            <w:tcBorders>
              <w:top w:val="nil"/>
              <w:left w:val="nil"/>
              <w:bottom w:val="nil"/>
              <w:right w:val="nil"/>
            </w:tcBorders>
          </w:tcPr>
          <w:p w14:paraId="2AA29882" w14:textId="77777777" w:rsidR="00C41D95" w:rsidRDefault="00E312B2">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3AC17B75" w14:textId="77777777" w:rsidR="00C41D95" w:rsidRDefault="00E312B2">
            <w:pPr>
              <w:spacing w:before="40" w:after="40"/>
            </w:pPr>
            <w:r>
              <w:rPr>
                <w:rFonts w:ascii="宋体" w:eastAsia="宋体" w:hAnsi="宋体"/>
                <w:sz w:val="15"/>
              </w:rPr>
              <w:t>课件伴读</w:t>
            </w:r>
          </w:p>
        </w:tc>
        <w:tc>
          <w:tcPr>
            <w:tcW w:w="2409" w:type="dxa"/>
            <w:tcBorders>
              <w:top w:val="nil"/>
              <w:left w:val="nil"/>
              <w:bottom w:val="nil"/>
              <w:right w:val="nil"/>
            </w:tcBorders>
          </w:tcPr>
          <w:p w14:paraId="2BAA153E"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C41D95" w14:paraId="407541DF" w14:textId="77777777">
        <w:tc>
          <w:tcPr>
            <w:tcW w:w="2409" w:type="dxa"/>
            <w:tcBorders>
              <w:top w:val="nil"/>
              <w:left w:val="nil"/>
              <w:bottom w:val="nil"/>
              <w:right w:val="nil"/>
            </w:tcBorders>
          </w:tcPr>
          <w:p w14:paraId="3C1FA548" w14:textId="77777777" w:rsidR="00C41D95" w:rsidRDefault="00E312B2">
            <w:pPr>
              <w:spacing w:before="40" w:after="40"/>
            </w:pPr>
            <w:r>
              <w:rPr>
                <w:rFonts w:ascii="宋体" w:eastAsia="宋体" w:hAnsi="宋体"/>
                <w:sz w:val="15"/>
              </w:rPr>
              <w:t>Agent-4</w:t>
            </w:r>
          </w:p>
        </w:tc>
        <w:tc>
          <w:tcPr>
            <w:tcW w:w="2409" w:type="dxa"/>
            <w:tcBorders>
              <w:top w:val="nil"/>
              <w:left w:val="nil"/>
              <w:bottom w:val="nil"/>
              <w:right w:val="nil"/>
            </w:tcBorders>
          </w:tcPr>
          <w:p w14:paraId="25149CDD" w14:textId="77777777" w:rsidR="00C41D95" w:rsidRDefault="00E312B2">
            <w:pPr>
              <w:spacing w:before="40" w:after="40"/>
            </w:pPr>
            <w:r>
              <w:rPr>
                <w:rFonts w:ascii="宋体" w:eastAsia="宋体" w:hAnsi="宋体"/>
                <w:sz w:val="15"/>
              </w:rPr>
              <w:t>作业与课程设计</w:t>
            </w:r>
          </w:p>
        </w:tc>
        <w:tc>
          <w:tcPr>
            <w:tcW w:w="2409" w:type="dxa"/>
            <w:tcBorders>
              <w:top w:val="nil"/>
              <w:left w:val="nil"/>
              <w:bottom w:val="nil"/>
              <w:right w:val="nil"/>
            </w:tcBorders>
          </w:tcPr>
          <w:p w14:paraId="22D29EBB" w14:textId="77777777" w:rsidR="00C41D95" w:rsidRDefault="00E312B2">
            <w:pPr>
              <w:spacing w:before="40" w:after="40"/>
            </w:pPr>
            <w:r>
              <w:rPr>
                <w:rFonts w:ascii="宋体" w:eastAsia="宋体" w:hAnsi="宋体"/>
                <w:sz w:val="15"/>
              </w:rPr>
              <w:t>作业辅导员</w:t>
            </w:r>
          </w:p>
        </w:tc>
        <w:tc>
          <w:tcPr>
            <w:tcW w:w="2409" w:type="dxa"/>
            <w:tcBorders>
              <w:top w:val="nil"/>
              <w:left w:val="nil"/>
              <w:bottom w:val="nil"/>
              <w:right w:val="nil"/>
            </w:tcBorders>
          </w:tcPr>
          <w:p w14:paraId="05203A9D"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w:t>
            </w:r>
            <w:r>
              <w:rPr>
                <w:rFonts w:ascii="宋体" w:eastAsia="宋体" w:hAnsi="宋体"/>
                <w:sz w:val="15"/>
              </w:rPr>
              <w:lastRenderedPageBreak/>
              <w:t>题目</w:t>
            </w:r>
            <w:r>
              <w:rPr>
                <w:rFonts w:ascii="宋体" w:eastAsia="宋体" w:hAnsi="宋体"/>
                <w:sz w:val="15"/>
              </w:rPr>
              <w:t>→</w:t>
            </w:r>
            <w:r>
              <w:rPr>
                <w:rFonts w:ascii="宋体" w:eastAsia="宋体" w:hAnsi="宋体"/>
                <w:sz w:val="15"/>
              </w:rPr>
              <w:t>引导解题思路、解读评分标准</w:t>
            </w:r>
          </w:p>
        </w:tc>
      </w:tr>
      <w:tr w:rsidR="00C41D95" w14:paraId="37BB4B75" w14:textId="77777777">
        <w:tc>
          <w:tcPr>
            <w:tcW w:w="2409" w:type="dxa"/>
            <w:tcBorders>
              <w:top w:val="nil"/>
              <w:left w:val="nil"/>
              <w:bottom w:val="nil"/>
              <w:right w:val="nil"/>
            </w:tcBorders>
          </w:tcPr>
          <w:p w14:paraId="6D6CE1A0" w14:textId="77777777" w:rsidR="00C41D95" w:rsidRDefault="00E312B2">
            <w:pPr>
              <w:spacing w:before="40" w:after="40"/>
            </w:pPr>
            <w:r>
              <w:rPr>
                <w:rFonts w:ascii="宋体" w:eastAsia="宋体" w:hAnsi="宋体"/>
                <w:sz w:val="15"/>
              </w:rPr>
              <w:lastRenderedPageBreak/>
              <w:t>Agent-5</w:t>
            </w:r>
          </w:p>
        </w:tc>
        <w:tc>
          <w:tcPr>
            <w:tcW w:w="2409" w:type="dxa"/>
            <w:tcBorders>
              <w:top w:val="nil"/>
              <w:left w:val="nil"/>
              <w:bottom w:val="nil"/>
              <w:right w:val="nil"/>
            </w:tcBorders>
          </w:tcPr>
          <w:p w14:paraId="05189A42" w14:textId="77777777" w:rsidR="00C41D95" w:rsidRDefault="00E312B2">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1BE29571" w14:textId="77777777" w:rsidR="00C41D95" w:rsidRDefault="00E312B2">
            <w:pPr>
              <w:spacing w:before="40" w:after="40"/>
            </w:pPr>
            <w:r>
              <w:rPr>
                <w:rFonts w:ascii="宋体" w:eastAsia="宋体" w:hAnsi="宋体"/>
                <w:sz w:val="15"/>
              </w:rPr>
              <w:t>学情分析师</w:t>
            </w:r>
          </w:p>
        </w:tc>
        <w:tc>
          <w:tcPr>
            <w:tcW w:w="2409" w:type="dxa"/>
            <w:tcBorders>
              <w:top w:val="nil"/>
              <w:left w:val="nil"/>
              <w:bottom w:val="nil"/>
              <w:right w:val="nil"/>
            </w:tcBorders>
          </w:tcPr>
          <w:p w14:paraId="5E8BE41E"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识别个人知识缺口</w:t>
            </w:r>
          </w:p>
        </w:tc>
      </w:tr>
      <w:tr w:rsidR="00C41D95" w14:paraId="43C2135C" w14:textId="77777777">
        <w:tc>
          <w:tcPr>
            <w:tcW w:w="2409" w:type="dxa"/>
            <w:tcBorders>
              <w:top w:val="nil"/>
              <w:left w:val="nil"/>
              <w:bottom w:val="nil"/>
              <w:right w:val="nil"/>
            </w:tcBorders>
          </w:tcPr>
          <w:p w14:paraId="274AAB4F" w14:textId="77777777" w:rsidR="00C41D95" w:rsidRDefault="00E312B2">
            <w:pPr>
              <w:spacing w:before="40" w:after="40"/>
            </w:pPr>
            <w:r>
              <w:rPr>
                <w:rFonts w:ascii="宋体" w:eastAsia="宋体" w:hAnsi="宋体"/>
                <w:sz w:val="15"/>
              </w:rPr>
              <w:t>Agent-S</w:t>
            </w:r>
          </w:p>
        </w:tc>
        <w:tc>
          <w:tcPr>
            <w:tcW w:w="2409" w:type="dxa"/>
            <w:tcBorders>
              <w:top w:val="nil"/>
              <w:left w:val="nil"/>
              <w:bottom w:val="nil"/>
              <w:right w:val="nil"/>
            </w:tcBorders>
          </w:tcPr>
          <w:p w14:paraId="769ACD70" w14:textId="77777777" w:rsidR="00C41D95" w:rsidRDefault="00E312B2">
            <w:pPr>
              <w:spacing w:before="40" w:after="40"/>
            </w:pPr>
            <w:r>
              <w:rPr>
                <w:rFonts w:ascii="宋体" w:eastAsia="宋体" w:hAnsi="宋体"/>
                <w:sz w:val="15"/>
              </w:rPr>
              <w:t>故事化案例拆解</w:t>
            </w:r>
          </w:p>
        </w:tc>
        <w:tc>
          <w:tcPr>
            <w:tcW w:w="2409" w:type="dxa"/>
            <w:tcBorders>
              <w:top w:val="nil"/>
              <w:left w:val="nil"/>
              <w:bottom w:val="nil"/>
              <w:right w:val="nil"/>
            </w:tcBorders>
          </w:tcPr>
          <w:p w14:paraId="2BC8366D" w14:textId="77777777" w:rsidR="00C41D95" w:rsidRDefault="00E312B2">
            <w:pPr>
              <w:spacing w:before="40" w:after="40"/>
            </w:pPr>
            <w:r>
              <w:rPr>
                <w:rFonts w:ascii="宋体" w:eastAsia="宋体" w:hAnsi="宋体"/>
                <w:sz w:val="15"/>
              </w:rPr>
              <w:t>案例解读员</w:t>
            </w:r>
          </w:p>
        </w:tc>
        <w:tc>
          <w:tcPr>
            <w:tcW w:w="2409" w:type="dxa"/>
            <w:tcBorders>
              <w:top w:val="nil"/>
              <w:left w:val="nil"/>
              <w:bottom w:val="nil"/>
              <w:right w:val="nil"/>
            </w:tcBorders>
          </w:tcPr>
          <w:p w14:paraId="3ADCCD70"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C41D95" w14:paraId="4D7E1855" w14:textId="77777777">
        <w:tc>
          <w:tcPr>
            <w:tcW w:w="2409" w:type="dxa"/>
            <w:tcBorders>
              <w:top w:val="nil"/>
              <w:left w:val="nil"/>
              <w:bottom w:val="nil"/>
              <w:right w:val="nil"/>
            </w:tcBorders>
          </w:tcPr>
          <w:p w14:paraId="076D89D1" w14:textId="77777777" w:rsidR="00C41D95" w:rsidRDefault="00E312B2">
            <w:pPr>
              <w:spacing w:before="40" w:after="40"/>
            </w:pPr>
            <w:r>
              <w:rPr>
                <w:rFonts w:ascii="宋体" w:eastAsia="宋体" w:hAnsi="宋体"/>
                <w:sz w:val="15"/>
              </w:rPr>
              <w:t>Agent-I</w:t>
            </w:r>
          </w:p>
        </w:tc>
        <w:tc>
          <w:tcPr>
            <w:tcW w:w="2409" w:type="dxa"/>
            <w:tcBorders>
              <w:top w:val="nil"/>
              <w:left w:val="nil"/>
              <w:bottom w:val="nil"/>
              <w:right w:val="nil"/>
            </w:tcBorders>
          </w:tcPr>
          <w:p w14:paraId="104CBECA" w14:textId="77777777" w:rsidR="00C41D95" w:rsidRDefault="00E312B2">
            <w:pPr>
              <w:spacing w:before="40" w:after="40"/>
            </w:pPr>
            <w:r>
              <w:rPr>
                <w:rFonts w:ascii="宋体" w:eastAsia="宋体" w:hAnsi="宋体"/>
                <w:sz w:val="15"/>
              </w:rPr>
              <w:t>场景沉浸设计</w:t>
            </w:r>
          </w:p>
        </w:tc>
        <w:tc>
          <w:tcPr>
            <w:tcW w:w="2409" w:type="dxa"/>
            <w:tcBorders>
              <w:top w:val="nil"/>
              <w:left w:val="nil"/>
              <w:bottom w:val="nil"/>
              <w:right w:val="nil"/>
            </w:tcBorders>
          </w:tcPr>
          <w:p w14:paraId="6B401722" w14:textId="77777777" w:rsidR="00C41D95" w:rsidRDefault="00E312B2">
            <w:pPr>
              <w:spacing w:before="40" w:after="40"/>
            </w:pPr>
            <w:r>
              <w:rPr>
                <w:rFonts w:ascii="宋体" w:eastAsia="宋体" w:hAnsi="宋体"/>
                <w:sz w:val="15"/>
              </w:rPr>
              <w:t>角色扮演教练</w:t>
            </w:r>
          </w:p>
        </w:tc>
        <w:tc>
          <w:tcPr>
            <w:tcW w:w="2409" w:type="dxa"/>
            <w:tcBorders>
              <w:top w:val="nil"/>
              <w:left w:val="nil"/>
              <w:bottom w:val="nil"/>
              <w:right w:val="nil"/>
            </w:tcBorders>
          </w:tcPr>
          <w:p w14:paraId="14C465B2"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C41D95" w14:paraId="0EBFC43F" w14:textId="77777777">
        <w:tc>
          <w:tcPr>
            <w:tcW w:w="2409" w:type="dxa"/>
            <w:tcBorders>
              <w:top w:val="nil"/>
              <w:left w:val="nil"/>
              <w:bottom w:val="single" w:sz="12" w:space="0" w:color="auto"/>
              <w:right w:val="nil"/>
            </w:tcBorders>
          </w:tcPr>
          <w:p w14:paraId="79785755" w14:textId="77777777" w:rsidR="00C41D95" w:rsidRDefault="00E312B2">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18BB4BA5" w14:textId="77777777" w:rsidR="00C41D95" w:rsidRDefault="00E312B2">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6451C4D8" w14:textId="77777777" w:rsidR="00C41D95" w:rsidRDefault="00E312B2">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2FF96C62" w14:textId="77777777" w:rsidR="00C41D95" w:rsidRDefault="00E312B2">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6DD853CA" w14:textId="77777777" w:rsidR="00C41D95" w:rsidRDefault="00E312B2">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1F136159" w14:textId="77777777" w:rsidR="00C41D95" w:rsidRDefault="00E312B2">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458A5BA3" w14:textId="77777777" w:rsidR="00C41D95" w:rsidRDefault="00E312B2">
      <w:pPr>
        <w:spacing w:before="160" w:after="40"/>
        <w:jc w:val="center"/>
      </w:pPr>
      <w:r>
        <w:rPr>
          <w:noProof/>
        </w:rPr>
        <w:drawing>
          <wp:inline distT="0" distB="0" distL="0" distR="0" wp14:anchorId="0CCF68F3" wp14:editId="0BF9E741">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67EA60EB" w14:textId="77777777" w:rsidR="00C41D95" w:rsidRDefault="00E312B2">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2594F602" w14:textId="77777777" w:rsidR="00C41D95" w:rsidRDefault="00E312B2">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5EAE6E03" w14:textId="77777777" w:rsidR="00C41D95" w:rsidRDefault="00E312B2">
      <w:pPr>
        <w:spacing w:after="120" w:line="360" w:lineRule="auto"/>
      </w:pPr>
      <w:r>
        <w:rPr>
          <w:rFonts w:ascii="黑体" w:eastAsia="黑体" w:hAnsi="黑体"/>
          <w:b/>
        </w:rPr>
        <w:t xml:space="preserve">2.4 </w:t>
      </w:r>
      <w:r>
        <w:rPr>
          <w:rFonts w:ascii="黑体" w:eastAsia="黑体" w:hAnsi="黑体"/>
          <w:b/>
        </w:rPr>
        <w:t>双向映射的两个典型案例</w:t>
      </w:r>
    </w:p>
    <w:p w14:paraId="64BF4746" w14:textId="77777777" w:rsidR="00C41D95" w:rsidRDefault="00E312B2">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191E2EA2" w14:textId="77777777" w:rsidR="00C41D95" w:rsidRDefault="00E312B2">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35EFCD67" w14:textId="77777777" w:rsidR="00C41D95" w:rsidRDefault="00E312B2">
      <w:pPr>
        <w:spacing w:before="160" w:after="40"/>
        <w:jc w:val="center"/>
      </w:pPr>
      <w:r>
        <w:rPr>
          <w:noProof/>
        </w:rPr>
        <w:lastRenderedPageBreak/>
        <w:drawing>
          <wp:inline distT="0" distB="0" distL="0" distR="0" wp14:anchorId="0D296C34" wp14:editId="0928B43A">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4BA7A602" w14:textId="77777777" w:rsidR="00C41D95" w:rsidRDefault="00E312B2">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79988067" w14:textId="77777777" w:rsidR="00C41D95" w:rsidRDefault="00E312B2">
      <w:pPr>
        <w:spacing w:line="360" w:lineRule="auto"/>
      </w:pPr>
      <w:r>
        <w:rPr>
          <w:rFonts w:ascii="黑体" w:eastAsia="黑体" w:hAnsi="黑体"/>
          <w:b/>
          <w:sz w:val="24"/>
        </w:rPr>
        <w:t xml:space="preserve">3 </w:t>
      </w:r>
      <w:r>
        <w:rPr>
          <w:rFonts w:ascii="黑体" w:eastAsia="黑体" w:hAnsi="黑体"/>
          <w:b/>
          <w:sz w:val="24"/>
        </w:rPr>
        <w:t>讨论</w:t>
      </w:r>
    </w:p>
    <w:p w14:paraId="6A82DBE9" w14:textId="77777777" w:rsidR="00C41D95" w:rsidRDefault="00E312B2">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393B7A72" w14:textId="77777777" w:rsidR="00C41D95" w:rsidRDefault="00E312B2">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39D54A78" w14:textId="77777777" w:rsidR="00C41D95" w:rsidRDefault="00E312B2">
      <w:pPr>
        <w:spacing w:after="120" w:line="360" w:lineRule="auto"/>
      </w:pPr>
      <w:r>
        <w:rPr>
          <w:rFonts w:ascii="黑体" w:eastAsia="黑体" w:hAnsi="黑体"/>
          <w:b/>
        </w:rPr>
        <w:t xml:space="preserve">3.2 </w:t>
      </w:r>
      <w:r>
        <w:rPr>
          <w:rFonts w:ascii="黑体" w:eastAsia="黑体" w:hAnsi="黑体"/>
          <w:b/>
        </w:rPr>
        <w:t>迁移路径</w:t>
      </w:r>
    </w:p>
    <w:p w14:paraId="4696BC61" w14:textId="77777777" w:rsidR="00C41D95" w:rsidRDefault="00E312B2">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1FC5A676" w14:textId="77777777" w:rsidR="00C41D95" w:rsidRDefault="00E312B2">
      <w:pPr>
        <w:spacing w:after="120" w:line="360" w:lineRule="auto"/>
      </w:pPr>
      <w:r>
        <w:rPr>
          <w:rFonts w:ascii="黑体" w:eastAsia="黑体" w:hAnsi="黑体"/>
          <w:b/>
        </w:rPr>
        <w:t xml:space="preserve">3.3 </w:t>
      </w:r>
      <w:r>
        <w:rPr>
          <w:rFonts w:ascii="黑体" w:eastAsia="黑体" w:hAnsi="黑体"/>
          <w:b/>
        </w:rPr>
        <w:t>局限性</w:t>
      </w:r>
    </w:p>
    <w:p w14:paraId="7C8FD2CE" w14:textId="77777777" w:rsidR="00C41D95" w:rsidRDefault="00E312B2">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[15,7]</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34973627" w14:textId="77777777" w:rsidR="00C41D95" w:rsidRDefault="00E312B2">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28053FD3" w14:textId="77777777" w:rsidR="00C41D95" w:rsidRDefault="00E312B2">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6C6E4A55" w14:textId="77777777" w:rsidR="00C41D95" w:rsidRDefault="00E312B2">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C41D95" w14:paraId="5D9A2442" w14:textId="77777777">
        <w:tc>
          <w:tcPr>
            <w:tcW w:w="1606" w:type="dxa"/>
            <w:tcBorders>
              <w:top w:val="single" w:sz="12" w:space="0" w:color="auto"/>
              <w:left w:val="nil"/>
              <w:bottom w:val="single" w:sz="6" w:space="0" w:color="auto"/>
              <w:right w:val="nil"/>
            </w:tcBorders>
          </w:tcPr>
          <w:p w14:paraId="5E26800F" w14:textId="77777777" w:rsidR="00C41D95" w:rsidRDefault="00E312B2">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060BAFEC" w14:textId="77777777" w:rsidR="00C41D95" w:rsidRDefault="00E312B2">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09689680" w14:textId="77777777" w:rsidR="00C41D95" w:rsidRDefault="00E312B2">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0C6274F6" w14:textId="77777777" w:rsidR="00C41D95" w:rsidRDefault="00E312B2">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382DA748" w14:textId="77777777" w:rsidR="00C41D95" w:rsidRDefault="00E312B2">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4A774B8C" w14:textId="77777777" w:rsidR="00C41D95" w:rsidRDefault="00E312B2">
            <w:pPr>
              <w:spacing w:before="40" w:after="40"/>
            </w:pPr>
            <w:r>
              <w:rPr>
                <w:rFonts w:ascii="宋体" w:eastAsia="宋体" w:hAnsi="宋体"/>
                <w:b/>
                <w:sz w:val="15"/>
              </w:rPr>
              <w:t>Squirrel AI</w:t>
            </w:r>
          </w:p>
        </w:tc>
      </w:tr>
      <w:tr w:rsidR="00C41D95" w14:paraId="78B0C754" w14:textId="77777777">
        <w:tc>
          <w:tcPr>
            <w:tcW w:w="1606" w:type="dxa"/>
            <w:tcBorders>
              <w:top w:val="nil"/>
              <w:left w:val="nil"/>
              <w:bottom w:val="nil"/>
              <w:right w:val="nil"/>
            </w:tcBorders>
          </w:tcPr>
          <w:p w14:paraId="7D6DCF1D" w14:textId="77777777" w:rsidR="00C41D95" w:rsidRDefault="00E312B2">
            <w:pPr>
              <w:spacing w:before="40" w:after="40"/>
            </w:pPr>
            <w:r>
              <w:rPr>
                <w:rFonts w:ascii="宋体" w:eastAsia="宋体" w:hAnsi="宋体"/>
                <w:sz w:val="15"/>
              </w:rPr>
              <w:t>设计范式</w:t>
            </w:r>
          </w:p>
        </w:tc>
        <w:tc>
          <w:tcPr>
            <w:tcW w:w="1606" w:type="dxa"/>
            <w:tcBorders>
              <w:top w:val="nil"/>
              <w:left w:val="nil"/>
              <w:bottom w:val="nil"/>
              <w:right w:val="nil"/>
            </w:tcBorders>
          </w:tcPr>
          <w:p w14:paraId="78AF9540" w14:textId="77777777" w:rsidR="00C41D95" w:rsidRDefault="00E312B2">
            <w:pPr>
              <w:spacing w:before="40" w:after="40"/>
            </w:pPr>
            <w:r>
              <w:rPr>
                <w:rFonts w:ascii="宋体" w:eastAsia="宋体" w:hAnsi="宋体"/>
                <w:sz w:val="15"/>
              </w:rPr>
              <w:t>多智能体协同</w:t>
            </w:r>
          </w:p>
        </w:tc>
        <w:tc>
          <w:tcPr>
            <w:tcW w:w="1606" w:type="dxa"/>
            <w:tcBorders>
              <w:top w:val="nil"/>
              <w:left w:val="nil"/>
              <w:bottom w:val="nil"/>
              <w:right w:val="nil"/>
            </w:tcBorders>
          </w:tcPr>
          <w:p w14:paraId="02FDB310" w14:textId="77777777" w:rsidR="00C41D95" w:rsidRDefault="00E312B2">
            <w:pPr>
              <w:spacing w:before="40" w:after="40"/>
            </w:pPr>
            <w:r>
              <w:rPr>
                <w:rFonts w:ascii="宋体" w:eastAsia="宋体" w:hAnsi="宋体"/>
                <w:sz w:val="15"/>
              </w:rPr>
              <w:t>通用单模型</w:t>
            </w:r>
          </w:p>
        </w:tc>
        <w:tc>
          <w:tcPr>
            <w:tcW w:w="1606" w:type="dxa"/>
            <w:tcBorders>
              <w:top w:val="nil"/>
              <w:left w:val="nil"/>
              <w:bottom w:val="nil"/>
              <w:right w:val="nil"/>
            </w:tcBorders>
          </w:tcPr>
          <w:p w14:paraId="59CB1533" w14:textId="77777777" w:rsidR="00C41D95" w:rsidRDefault="00E312B2">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5EF91BB2" w14:textId="77777777" w:rsidR="00C41D95" w:rsidRDefault="00E312B2">
            <w:pPr>
              <w:spacing w:before="40" w:after="40"/>
            </w:pPr>
            <w:r>
              <w:rPr>
                <w:rFonts w:ascii="宋体" w:eastAsia="宋体" w:hAnsi="宋体"/>
                <w:sz w:val="15"/>
              </w:rPr>
              <w:t>平台嵌入式</w:t>
            </w:r>
          </w:p>
        </w:tc>
        <w:tc>
          <w:tcPr>
            <w:tcW w:w="1606" w:type="dxa"/>
            <w:tcBorders>
              <w:top w:val="nil"/>
              <w:left w:val="nil"/>
              <w:bottom w:val="nil"/>
              <w:right w:val="nil"/>
            </w:tcBorders>
          </w:tcPr>
          <w:p w14:paraId="15A8682A" w14:textId="77777777" w:rsidR="00C41D95" w:rsidRDefault="00E312B2">
            <w:pPr>
              <w:spacing w:before="40" w:after="40"/>
            </w:pPr>
            <w:r>
              <w:rPr>
                <w:rFonts w:ascii="宋体" w:eastAsia="宋体" w:hAnsi="宋体"/>
                <w:sz w:val="15"/>
              </w:rPr>
              <w:t>自适应学习引擎</w:t>
            </w:r>
          </w:p>
        </w:tc>
      </w:tr>
      <w:tr w:rsidR="00C41D95" w14:paraId="37A70C6F" w14:textId="77777777">
        <w:tc>
          <w:tcPr>
            <w:tcW w:w="1606" w:type="dxa"/>
            <w:tcBorders>
              <w:top w:val="nil"/>
              <w:left w:val="nil"/>
              <w:bottom w:val="nil"/>
              <w:right w:val="nil"/>
            </w:tcBorders>
          </w:tcPr>
          <w:p w14:paraId="30DBEAEF" w14:textId="77777777" w:rsidR="00C41D95" w:rsidRDefault="00E312B2">
            <w:pPr>
              <w:spacing w:before="40" w:after="40"/>
            </w:pPr>
            <w:r>
              <w:rPr>
                <w:rFonts w:ascii="宋体" w:eastAsia="宋体" w:hAnsi="宋体"/>
                <w:sz w:val="15"/>
              </w:rPr>
              <w:t>服务对象</w:t>
            </w:r>
          </w:p>
        </w:tc>
        <w:tc>
          <w:tcPr>
            <w:tcW w:w="1606" w:type="dxa"/>
            <w:tcBorders>
              <w:top w:val="nil"/>
              <w:left w:val="nil"/>
              <w:bottom w:val="nil"/>
              <w:right w:val="nil"/>
            </w:tcBorders>
          </w:tcPr>
          <w:p w14:paraId="7FD0B1C1" w14:textId="77777777" w:rsidR="00C41D95" w:rsidRDefault="00E312B2">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04403EA4" w14:textId="77777777" w:rsidR="00C41D95" w:rsidRDefault="00E312B2">
            <w:pPr>
              <w:spacing w:before="40" w:after="40"/>
            </w:pPr>
            <w:r>
              <w:rPr>
                <w:rFonts w:ascii="宋体" w:eastAsia="宋体" w:hAnsi="宋体"/>
                <w:sz w:val="15"/>
              </w:rPr>
              <w:t>通用用户</w:t>
            </w:r>
          </w:p>
        </w:tc>
        <w:tc>
          <w:tcPr>
            <w:tcW w:w="1606" w:type="dxa"/>
            <w:tcBorders>
              <w:top w:val="nil"/>
              <w:left w:val="nil"/>
              <w:bottom w:val="nil"/>
              <w:right w:val="nil"/>
            </w:tcBorders>
          </w:tcPr>
          <w:p w14:paraId="2FAFC111" w14:textId="77777777" w:rsidR="00C41D95" w:rsidRDefault="00E312B2">
            <w:pPr>
              <w:spacing w:before="40" w:after="40"/>
            </w:pPr>
            <w:r>
              <w:rPr>
                <w:rFonts w:ascii="宋体" w:eastAsia="宋体" w:hAnsi="宋体"/>
                <w:sz w:val="15"/>
              </w:rPr>
              <w:t>学生端</w:t>
            </w:r>
          </w:p>
        </w:tc>
        <w:tc>
          <w:tcPr>
            <w:tcW w:w="1606" w:type="dxa"/>
            <w:tcBorders>
              <w:top w:val="nil"/>
              <w:left w:val="nil"/>
              <w:bottom w:val="nil"/>
              <w:right w:val="nil"/>
            </w:tcBorders>
          </w:tcPr>
          <w:p w14:paraId="048E7874" w14:textId="77777777" w:rsidR="00C41D95" w:rsidRDefault="00E312B2">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68AFB45C" w14:textId="77777777" w:rsidR="00C41D95" w:rsidRDefault="00E312B2">
            <w:pPr>
              <w:spacing w:before="40" w:after="40"/>
            </w:pPr>
            <w:r>
              <w:rPr>
                <w:rFonts w:ascii="宋体" w:eastAsia="宋体" w:hAnsi="宋体"/>
                <w:sz w:val="15"/>
              </w:rPr>
              <w:t>学生端</w:t>
            </w:r>
          </w:p>
        </w:tc>
      </w:tr>
      <w:tr w:rsidR="00C41D95" w14:paraId="0D9B0E9A" w14:textId="77777777">
        <w:tc>
          <w:tcPr>
            <w:tcW w:w="1606" w:type="dxa"/>
            <w:tcBorders>
              <w:top w:val="nil"/>
              <w:left w:val="nil"/>
              <w:bottom w:val="nil"/>
              <w:right w:val="nil"/>
            </w:tcBorders>
          </w:tcPr>
          <w:p w14:paraId="1E94BE17" w14:textId="77777777" w:rsidR="00C41D95" w:rsidRDefault="00E312B2">
            <w:pPr>
              <w:spacing w:before="40" w:after="40"/>
            </w:pPr>
            <w:r>
              <w:rPr>
                <w:rFonts w:ascii="宋体" w:eastAsia="宋体" w:hAnsi="宋体"/>
                <w:sz w:val="15"/>
              </w:rPr>
              <w:t>角色分工</w:t>
            </w:r>
          </w:p>
        </w:tc>
        <w:tc>
          <w:tcPr>
            <w:tcW w:w="1606" w:type="dxa"/>
            <w:tcBorders>
              <w:top w:val="nil"/>
              <w:left w:val="nil"/>
              <w:bottom w:val="nil"/>
              <w:right w:val="nil"/>
            </w:tcBorders>
          </w:tcPr>
          <w:p w14:paraId="4B4D41EF" w14:textId="77777777" w:rsidR="00C41D95" w:rsidRDefault="00E312B2">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6DE755E6" w14:textId="77777777" w:rsidR="00C41D95" w:rsidRDefault="00E312B2">
            <w:pPr>
              <w:spacing w:before="40" w:after="40"/>
            </w:pPr>
            <w:r>
              <w:rPr>
                <w:rFonts w:ascii="宋体" w:eastAsia="宋体" w:hAnsi="宋体"/>
                <w:sz w:val="15"/>
              </w:rPr>
              <w:t>无分工</w:t>
            </w:r>
          </w:p>
        </w:tc>
        <w:tc>
          <w:tcPr>
            <w:tcW w:w="1606" w:type="dxa"/>
            <w:tcBorders>
              <w:top w:val="nil"/>
              <w:left w:val="nil"/>
              <w:bottom w:val="nil"/>
              <w:right w:val="nil"/>
            </w:tcBorders>
          </w:tcPr>
          <w:p w14:paraId="5ED73DDB" w14:textId="77777777" w:rsidR="00C41D95" w:rsidRDefault="00E312B2">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026CEA95" w14:textId="77777777" w:rsidR="00C41D95" w:rsidRDefault="00E312B2">
            <w:pPr>
              <w:spacing w:before="40" w:after="40"/>
            </w:pPr>
            <w:r>
              <w:rPr>
                <w:rFonts w:ascii="宋体" w:eastAsia="宋体" w:hAnsi="宋体"/>
                <w:sz w:val="15"/>
              </w:rPr>
              <w:t>功能模块</w:t>
            </w:r>
          </w:p>
        </w:tc>
        <w:tc>
          <w:tcPr>
            <w:tcW w:w="1606" w:type="dxa"/>
            <w:tcBorders>
              <w:top w:val="nil"/>
              <w:left w:val="nil"/>
              <w:bottom w:val="nil"/>
              <w:right w:val="nil"/>
            </w:tcBorders>
          </w:tcPr>
          <w:p w14:paraId="276FF873" w14:textId="77777777" w:rsidR="00C41D95" w:rsidRDefault="00E312B2">
            <w:pPr>
              <w:spacing w:before="40" w:after="40"/>
            </w:pPr>
            <w:r>
              <w:rPr>
                <w:rFonts w:ascii="宋体" w:eastAsia="宋体" w:hAnsi="宋体"/>
                <w:sz w:val="15"/>
              </w:rPr>
              <w:t>知识图谱驱动</w:t>
            </w:r>
          </w:p>
        </w:tc>
      </w:tr>
      <w:tr w:rsidR="00C41D95" w14:paraId="2E47769F" w14:textId="77777777">
        <w:tc>
          <w:tcPr>
            <w:tcW w:w="1606" w:type="dxa"/>
            <w:tcBorders>
              <w:top w:val="nil"/>
              <w:left w:val="nil"/>
              <w:bottom w:val="nil"/>
              <w:right w:val="nil"/>
            </w:tcBorders>
          </w:tcPr>
          <w:p w14:paraId="108BE49E" w14:textId="77777777" w:rsidR="00C41D95" w:rsidRDefault="00E312B2">
            <w:pPr>
              <w:spacing w:before="40" w:after="40"/>
            </w:pPr>
            <w:r>
              <w:rPr>
                <w:rFonts w:ascii="宋体" w:eastAsia="宋体" w:hAnsi="宋体"/>
                <w:sz w:val="15"/>
              </w:rPr>
              <w:t>课程定制</w:t>
            </w:r>
          </w:p>
        </w:tc>
        <w:tc>
          <w:tcPr>
            <w:tcW w:w="1606" w:type="dxa"/>
            <w:tcBorders>
              <w:top w:val="nil"/>
              <w:left w:val="nil"/>
              <w:bottom w:val="nil"/>
              <w:right w:val="nil"/>
            </w:tcBorders>
          </w:tcPr>
          <w:p w14:paraId="61CE3D7D" w14:textId="77777777" w:rsidR="00C41D95" w:rsidRDefault="00E312B2">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4019D82D" w14:textId="77777777" w:rsidR="00C41D95" w:rsidRDefault="00E312B2">
            <w:pPr>
              <w:spacing w:before="40" w:after="40"/>
            </w:pPr>
            <w:r>
              <w:rPr>
                <w:rFonts w:ascii="宋体" w:eastAsia="宋体" w:hAnsi="宋体"/>
                <w:sz w:val="15"/>
              </w:rPr>
              <w:t>无</w:t>
            </w:r>
          </w:p>
        </w:tc>
        <w:tc>
          <w:tcPr>
            <w:tcW w:w="1606" w:type="dxa"/>
            <w:tcBorders>
              <w:top w:val="nil"/>
              <w:left w:val="nil"/>
              <w:bottom w:val="nil"/>
              <w:right w:val="nil"/>
            </w:tcBorders>
          </w:tcPr>
          <w:p w14:paraId="3A87022D" w14:textId="77777777" w:rsidR="00C41D95" w:rsidRDefault="00E312B2">
            <w:pPr>
              <w:spacing w:before="40" w:after="40"/>
            </w:pPr>
            <w:r>
              <w:rPr>
                <w:rFonts w:ascii="宋体" w:eastAsia="宋体" w:hAnsi="宋体"/>
                <w:sz w:val="15"/>
              </w:rPr>
              <w:t>通用学科</w:t>
            </w:r>
          </w:p>
        </w:tc>
        <w:tc>
          <w:tcPr>
            <w:tcW w:w="1606" w:type="dxa"/>
            <w:tcBorders>
              <w:top w:val="nil"/>
              <w:left w:val="nil"/>
              <w:bottom w:val="nil"/>
              <w:right w:val="nil"/>
            </w:tcBorders>
          </w:tcPr>
          <w:p w14:paraId="686B4B4B" w14:textId="77777777" w:rsidR="00C41D95" w:rsidRDefault="00E312B2">
            <w:pPr>
              <w:spacing w:before="40" w:after="40"/>
            </w:pPr>
            <w:r>
              <w:rPr>
                <w:rFonts w:ascii="宋体" w:eastAsia="宋体" w:hAnsi="宋体"/>
                <w:sz w:val="15"/>
              </w:rPr>
              <w:t>平台级配置</w:t>
            </w:r>
          </w:p>
        </w:tc>
        <w:tc>
          <w:tcPr>
            <w:tcW w:w="1606" w:type="dxa"/>
            <w:tcBorders>
              <w:top w:val="nil"/>
              <w:left w:val="nil"/>
              <w:bottom w:val="nil"/>
              <w:right w:val="nil"/>
            </w:tcBorders>
          </w:tcPr>
          <w:p w14:paraId="77345901" w14:textId="77777777" w:rsidR="00C41D95" w:rsidRDefault="00E312B2">
            <w:pPr>
              <w:spacing w:before="40" w:after="40"/>
            </w:pPr>
            <w:r>
              <w:rPr>
                <w:rFonts w:ascii="宋体" w:eastAsia="宋体" w:hAnsi="宋体"/>
                <w:sz w:val="15"/>
              </w:rPr>
              <w:t>学科自适应</w:t>
            </w:r>
          </w:p>
        </w:tc>
      </w:tr>
      <w:tr w:rsidR="00C41D95" w14:paraId="57793A87" w14:textId="77777777">
        <w:tc>
          <w:tcPr>
            <w:tcW w:w="1606" w:type="dxa"/>
            <w:tcBorders>
              <w:top w:val="nil"/>
              <w:left w:val="nil"/>
              <w:bottom w:val="nil"/>
              <w:right w:val="nil"/>
            </w:tcBorders>
          </w:tcPr>
          <w:p w14:paraId="069E83F6" w14:textId="77777777" w:rsidR="00C41D95" w:rsidRDefault="00E312B2">
            <w:pPr>
              <w:spacing w:before="40" w:after="40"/>
            </w:pPr>
            <w:r>
              <w:rPr>
                <w:rFonts w:ascii="宋体" w:eastAsia="宋体" w:hAnsi="宋体"/>
                <w:sz w:val="15"/>
              </w:rPr>
              <w:t>知识库</w:t>
            </w:r>
          </w:p>
        </w:tc>
        <w:tc>
          <w:tcPr>
            <w:tcW w:w="1606" w:type="dxa"/>
            <w:tcBorders>
              <w:top w:val="nil"/>
              <w:left w:val="nil"/>
              <w:bottom w:val="nil"/>
              <w:right w:val="nil"/>
            </w:tcBorders>
          </w:tcPr>
          <w:p w14:paraId="0A3931D0" w14:textId="77777777" w:rsidR="00C41D95" w:rsidRDefault="00E312B2">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4F38A9F1" w14:textId="77777777" w:rsidR="00C41D95" w:rsidRDefault="00E312B2">
            <w:pPr>
              <w:spacing w:before="40" w:after="40"/>
            </w:pPr>
            <w:r>
              <w:rPr>
                <w:rFonts w:ascii="宋体" w:eastAsia="宋体" w:hAnsi="宋体"/>
                <w:sz w:val="15"/>
              </w:rPr>
              <w:t>无（依赖预训练）</w:t>
            </w:r>
          </w:p>
        </w:tc>
        <w:tc>
          <w:tcPr>
            <w:tcW w:w="1606" w:type="dxa"/>
            <w:tcBorders>
              <w:top w:val="nil"/>
              <w:left w:val="nil"/>
              <w:bottom w:val="nil"/>
              <w:right w:val="nil"/>
            </w:tcBorders>
          </w:tcPr>
          <w:p w14:paraId="4BDC50ED" w14:textId="77777777" w:rsidR="00C41D95" w:rsidRDefault="00E312B2">
            <w:pPr>
              <w:spacing w:before="40" w:after="40"/>
            </w:pPr>
            <w:r>
              <w:rPr>
                <w:rFonts w:ascii="宋体" w:eastAsia="宋体" w:hAnsi="宋体"/>
                <w:sz w:val="15"/>
              </w:rPr>
              <w:t>通用知识库</w:t>
            </w:r>
          </w:p>
        </w:tc>
        <w:tc>
          <w:tcPr>
            <w:tcW w:w="1606" w:type="dxa"/>
            <w:tcBorders>
              <w:top w:val="nil"/>
              <w:left w:val="nil"/>
              <w:bottom w:val="nil"/>
              <w:right w:val="nil"/>
            </w:tcBorders>
          </w:tcPr>
          <w:p w14:paraId="5E196DC9" w14:textId="77777777" w:rsidR="00C41D95" w:rsidRDefault="00E312B2">
            <w:pPr>
              <w:spacing w:before="40" w:after="40"/>
            </w:pPr>
            <w:r>
              <w:rPr>
                <w:rFonts w:ascii="宋体" w:eastAsia="宋体" w:hAnsi="宋体"/>
                <w:sz w:val="15"/>
              </w:rPr>
              <w:t>平台资源库</w:t>
            </w:r>
          </w:p>
        </w:tc>
        <w:tc>
          <w:tcPr>
            <w:tcW w:w="1606" w:type="dxa"/>
            <w:tcBorders>
              <w:top w:val="nil"/>
              <w:left w:val="nil"/>
              <w:bottom w:val="nil"/>
              <w:right w:val="nil"/>
            </w:tcBorders>
          </w:tcPr>
          <w:p w14:paraId="1095A21F" w14:textId="77777777" w:rsidR="00C41D95" w:rsidRDefault="00E312B2">
            <w:pPr>
              <w:spacing w:before="40" w:after="40"/>
            </w:pPr>
            <w:r>
              <w:rPr>
                <w:rFonts w:ascii="宋体" w:eastAsia="宋体" w:hAnsi="宋体"/>
                <w:sz w:val="15"/>
              </w:rPr>
              <w:t>学科知识图谱</w:t>
            </w:r>
          </w:p>
        </w:tc>
      </w:tr>
      <w:tr w:rsidR="00C41D95" w14:paraId="0F6DA9A8" w14:textId="77777777">
        <w:tc>
          <w:tcPr>
            <w:tcW w:w="1606" w:type="dxa"/>
            <w:tcBorders>
              <w:top w:val="nil"/>
              <w:left w:val="nil"/>
              <w:bottom w:val="nil"/>
              <w:right w:val="nil"/>
            </w:tcBorders>
          </w:tcPr>
          <w:p w14:paraId="60C740E1" w14:textId="77777777" w:rsidR="00C41D95" w:rsidRDefault="00E312B2">
            <w:pPr>
              <w:spacing w:before="40" w:after="40"/>
            </w:pPr>
            <w:r>
              <w:rPr>
                <w:rFonts w:ascii="宋体" w:eastAsia="宋体" w:hAnsi="宋体"/>
                <w:sz w:val="15"/>
              </w:rPr>
              <w:t>教学材料产出</w:t>
            </w:r>
          </w:p>
        </w:tc>
        <w:tc>
          <w:tcPr>
            <w:tcW w:w="1606" w:type="dxa"/>
            <w:tcBorders>
              <w:top w:val="nil"/>
              <w:left w:val="nil"/>
              <w:bottom w:val="nil"/>
              <w:right w:val="nil"/>
            </w:tcBorders>
          </w:tcPr>
          <w:p w14:paraId="5710F0E5" w14:textId="77777777" w:rsidR="00C41D95" w:rsidRDefault="00E312B2">
            <w:pPr>
              <w:spacing w:before="40" w:after="40"/>
            </w:pPr>
            <w:r>
              <w:rPr>
                <w:rFonts w:ascii="宋体" w:eastAsia="宋体" w:hAnsi="宋体"/>
                <w:sz w:val="15"/>
              </w:rPr>
              <w:t>全生命周期覆盖</w:t>
            </w:r>
          </w:p>
        </w:tc>
        <w:tc>
          <w:tcPr>
            <w:tcW w:w="1606" w:type="dxa"/>
            <w:tcBorders>
              <w:top w:val="nil"/>
              <w:left w:val="nil"/>
              <w:bottom w:val="nil"/>
              <w:right w:val="nil"/>
            </w:tcBorders>
          </w:tcPr>
          <w:p w14:paraId="3FF67661" w14:textId="77777777" w:rsidR="00C41D95" w:rsidRDefault="00E312B2">
            <w:pPr>
              <w:spacing w:before="40" w:after="40"/>
            </w:pPr>
            <w:r>
              <w:rPr>
                <w:rFonts w:ascii="宋体" w:eastAsia="宋体" w:hAnsi="宋体"/>
                <w:sz w:val="15"/>
              </w:rPr>
              <w:t>需手动提示</w:t>
            </w:r>
          </w:p>
        </w:tc>
        <w:tc>
          <w:tcPr>
            <w:tcW w:w="1606" w:type="dxa"/>
            <w:tcBorders>
              <w:top w:val="nil"/>
              <w:left w:val="nil"/>
              <w:bottom w:val="nil"/>
              <w:right w:val="nil"/>
            </w:tcBorders>
          </w:tcPr>
          <w:p w14:paraId="6D28445F" w14:textId="77777777" w:rsidR="00C41D95" w:rsidRDefault="00E312B2">
            <w:pPr>
              <w:spacing w:before="40" w:after="40"/>
            </w:pPr>
            <w:r>
              <w:rPr>
                <w:rFonts w:ascii="宋体" w:eastAsia="宋体" w:hAnsi="宋体"/>
                <w:sz w:val="15"/>
              </w:rPr>
              <w:t>作业辅导</w:t>
            </w:r>
          </w:p>
        </w:tc>
        <w:tc>
          <w:tcPr>
            <w:tcW w:w="1606" w:type="dxa"/>
            <w:tcBorders>
              <w:top w:val="nil"/>
              <w:left w:val="nil"/>
              <w:bottom w:val="nil"/>
              <w:right w:val="nil"/>
            </w:tcBorders>
          </w:tcPr>
          <w:p w14:paraId="3CD3E83F" w14:textId="77777777" w:rsidR="00C41D95" w:rsidRDefault="00E312B2">
            <w:pPr>
              <w:spacing w:before="40" w:after="40"/>
            </w:pPr>
            <w:r>
              <w:rPr>
                <w:rFonts w:ascii="宋体" w:eastAsia="宋体" w:hAnsi="宋体"/>
                <w:sz w:val="15"/>
              </w:rPr>
              <w:t>资源推送</w:t>
            </w:r>
          </w:p>
        </w:tc>
        <w:tc>
          <w:tcPr>
            <w:tcW w:w="1606" w:type="dxa"/>
            <w:tcBorders>
              <w:top w:val="nil"/>
              <w:left w:val="nil"/>
              <w:bottom w:val="nil"/>
              <w:right w:val="nil"/>
            </w:tcBorders>
          </w:tcPr>
          <w:p w14:paraId="28819CEB" w14:textId="77777777" w:rsidR="00C41D95" w:rsidRDefault="00E312B2">
            <w:pPr>
              <w:spacing w:before="40" w:after="40"/>
            </w:pPr>
            <w:r>
              <w:rPr>
                <w:rFonts w:ascii="宋体" w:eastAsia="宋体" w:hAnsi="宋体"/>
                <w:sz w:val="15"/>
              </w:rPr>
              <w:t>习题推荐</w:t>
            </w:r>
          </w:p>
        </w:tc>
      </w:tr>
      <w:tr w:rsidR="00C41D95" w14:paraId="11E8C390" w14:textId="77777777">
        <w:tc>
          <w:tcPr>
            <w:tcW w:w="1606" w:type="dxa"/>
            <w:tcBorders>
              <w:top w:val="nil"/>
              <w:left w:val="nil"/>
              <w:bottom w:val="nil"/>
              <w:right w:val="nil"/>
            </w:tcBorders>
          </w:tcPr>
          <w:p w14:paraId="7D12540A" w14:textId="77777777" w:rsidR="00C41D95" w:rsidRDefault="00E312B2">
            <w:pPr>
              <w:spacing w:before="40" w:after="40"/>
            </w:pPr>
            <w:r>
              <w:rPr>
                <w:rFonts w:ascii="宋体" w:eastAsia="宋体" w:hAnsi="宋体"/>
                <w:sz w:val="15"/>
              </w:rPr>
              <w:t>学生端角色</w:t>
            </w:r>
          </w:p>
        </w:tc>
        <w:tc>
          <w:tcPr>
            <w:tcW w:w="1606" w:type="dxa"/>
            <w:tcBorders>
              <w:top w:val="nil"/>
              <w:left w:val="nil"/>
              <w:bottom w:val="nil"/>
              <w:right w:val="nil"/>
            </w:tcBorders>
          </w:tcPr>
          <w:p w14:paraId="432F04CF" w14:textId="77777777" w:rsidR="00C41D95" w:rsidRDefault="00E312B2">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7DD858BB" w14:textId="77777777" w:rsidR="00C41D95" w:rsidRDefault="00E312B2">
            <w:pPr>
              <w:spacing w:before="40" w:after="40"/>
            </w:pPr>
            <w:r>
              <w:rPr>
                <w:rFonts w:ascii="宋体" w:eastAsia="宋体" w:hAnsi="宋体"/>
                <w:sz w:val="15"/>
              </w:rPr>
              <w:t>需自行定义</w:t>
            </w:r>
          </w:p>
        </w:tc>
        <w:tc>
          <w:tcPr>
            <w:tcW w:w="1606" w:type="dxa"/>
            <w:tcBorders>
              <w:top w:val="nil"/>
              <w:left w:val="nil"/>
              <w:bottom w:val="nil"/>
              <w:right w:val="nil"/>
            </w:tcBorders>
          </w:tcPr>
          <w:p w14:paraId="6FD0EE79" w14:textId="77777777" w:rsidR="00C41D95" w:rsidRDefault="00E312B2">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3D599191" w14:textId="77777777" w:rsidR="00C41D95" w:rsidRDefault="00E312B2">
            <w:pPr>
              <w:spacing w:before="40" w:after="40"/>
            </w:pPr>
            <w:r>
              <w:rPr>
                <w:rFonts w:ascii="宋体" w:eastAsia="宋体" w:hAnsi="宋体"/>
                <w:sz w:val="15"/>
              </w:rPr>
              <w:t>功能导航</w:t>
            </w:r>
          </w:p>
        </w:tc>
        <w:tc>
          <w:tcPr>
            <w:tcW w:w="1606" w:type="dxa"/>
            <w:tcBorders>
              <w:top w:val="nil"/>
              <w:left w:val="nil"/>
              <w:bottom w:val="nil"/>
              <w:right w:val="nil"/>
            </w:tcBorders>
          </w:tcPr>
          <w:p w14:paraId="30323A06" w14:textId="77777777" w:rsidR="00C41D95" w:rsidRDefault="00E312B2">
            <w:pPr>
              <w:spacing w:before="40" w:after="40"/>
            </w:pPr>
            <w:r>
              <w:rPr>
                <w:rFonts w:ascii="宋体" w:eastAsia="宋体" w:hAnsi="宋体"/>
                <w:sz w:val="15"/>
              </w:rPr>
              <w:t>个性化路径</w:t>
            </w:r>
          </w:p>
        </w:tc>
      </w:tr>
      <w:tr w:rsidR="00C41D95" w14:paraId="551A4EC0" w14:textId="77777777">
        <w:tc>
          <w:tcPr>
            <w:tcW w:w="1606" w:type="dxa"/>
            <w:tcBorders>
              <w:top w:val="nil"/>
              <w:left w:val="nil"/>
              <w:bottom w:val="single" w:sz="12" w:space="0" w:color="auto"/>
              <w:right w:val="nil"/>
            </w:tcBorders>
          </w:tcPr>
          <w:p w14:paraId="29A31473" w14:textId="77777777" w:rsidR="00C41D95" w:rsidRDefault="00E312B2">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70544EE6" w14:textId="77777777" w:rsidR="00C41D95" w:rsidRDefault="00E312B2">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6D63C690" w14:textId="77777777" w:rsidR="00C41D95" w:rsidRDefault="00E312B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27C569A4" w14:textId="77777777" w:rsidR="00C41D95" w:rsidRDefault="00E312B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5B727EA2" w14:textId="77777777" w:rsidR="00C41D95" w:rsidRDefault="00E312B2">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527106AF" w14:textId="77777777" w:rsidR="00C41D95" w:rsidRDefault="00E312B2">
            <w:pPr>
              <w:spacing w:before="40" w:after="40"/>
            </w:pPr>
            <w:r>
              <w:rPr>
                <w:rFonts w:ascii="宋体" w:eastAsia="宋体" w:hAnsi="宋体"/>
                <w:sz w:val="15"/>
              </w:rPr>
              <w:t>高（需系统对接）</w:t>
            </w:r>
          </w:p>
        </w:tc>
      </w:tr>
    </w:tbl>
    <w:p w14:paraId="6D4BFA28" w14:textId="77777777" w:rsidR="00C41D95" w:rsidRDefault="00E312B2">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[8]</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[22]</w:t>
      </w:r>
      <w:r>
        <w:rPr>
          <w:rFonts w:ascii="宋体" w:eastAsia="宋体" w:hAnsi="宋体"/>
          <w:sz w:val="21"/>
        </w:rPr>
        <w:t>。</w:t>
      </w:r>
    </w:p>
    <w:p w14:paraId="16C8CBA4" w14:textId="77777777" w:rsidR="00C41D95" w:rsidRDefault="00E312B2">
      <w:pPr>
        <w:spacing w:after="120" w:line="360" w:lineRule="auto"/>
      </w:pPr>
      <w:r>
        <w:rPr>
          <w:rFonts w:ascii="黑体" w:eastAsia="黑体" w:hAnsi="黑体"/>
          <w:b/>
        </w:rPr>
        <w:t xml:space="preserve">3.5 </w:t>
      </w:r>
      <w:r>
        <w:rPr>
          <w:rFonts w:ascii="黑体" w:eastAsia="黑体" w:hAnsi="黑体"/>
          <w:b/>
        </w:rPr>
        <w:t>初步试用反馈</w:t>
      </w:r>
    </w:p>
    <w:p w14:paraId="303916D7" w14:textId="77777777" w:rsidR="00C41D95" w:rsidRDefault="00E312B2">
      <w:pPr>
        <w:spacing w:after="80" w:line="360" w:lineRule="auto"/>
        <w:ind w:firstLine="420"/>
      </w:pPr>
      <w:r>
        <w:rPr>
          <w:rFonts w:ascii="宋体" w:eastAsia="宋体" w:hAnsi="宋体"/>
          <w:sz w:val="21"/>
        </w:rPr>
        <w:t>依据</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[1]</w:t>
      </w:r>
      <w:r>
        <w:rPr>
          <w:rFonts w:ascii="宋体" w:eastAsia="宋体" w:hAnsi="宋体"/>
          <w:sz w:val="21"/>
        </w:rPr>
        <w:t>提出的设计科学研究评价框架，本研究对</w:t>
      </w:r>
      <w:r>
        <w:rPr>
          <w:rFonts w:ascii="宋体" w:eastAsia="宋体" w:hAnsi="宋体"/>
          <w:sz w:val="21"/>
        </w:rPr>
        <w:t>9-Agent</w:t>
      </w:r>
      <w:r>
        <w:rPr>
          <w:rFonts w:ascii="宋体" w:eastAsia="宋体" w:hAnsi="宋体"/>
          <w:sz w:val="21"/>
        </w:rPr>
        <w:t>双向映射设计方法论进行系统自评。</w:t>
      </w:r>
      <w:r>
        <w:rPr>
          <w:rFonts w:ascii="宋体" w:eastAsia="宋体" w:hAnsi="宋体"/>
          <w:sz w:val="21"/>
        </w:rPr>
        <w:t>Hevner</w:t>
      </w:r>
      <w:r>
        <w:rPr>
          <w:rFonts w:ascii="宋体" w:eastAsia="宋体" w:hAnsi="宋体"/>
          <w:sz w:val="21"/>
        </w:rPr>
        <w:t>框架包含七条设计科学指南，下文逐条对照本研究的达成情况。</w:t>
      </w:r>
    </w:p>
    <w:p w14:paraId="192DFBCB" w14:textId="77777777" w:rsidR="00C41D95" w:rsidRDefault="00E312B2">
      <w:pPr>
        <w:spacing w:after="80" w:line="360" w:lineRule="auto"/>
        <w:ind w:firstLine="420"/>
      </w:pPr>
      <w:r>
        <w:rPr>
          <w:rFonts w:ascii="宋体" w:eastAsia="宋体" w:hAnsi="宋体"/>
          <w:sz w:val="21"/>
        </w:rPr>
        <w:lastRenderedPageBreak/>
        <w:t>**</w:t>
      </w:r>
      <w:r>
        <w:rPr>
          <w:rFonts w:ascii="宋体" w:eastAsia="宋体" w:hAnsi="宋体"/>
          <w:sz w:val="21"/>
        </w:rPr>
        <w:t>指南一：设计作为人工物。</w:t>
      </w:r>
      <w:r>
        <w:rPr>
          <w:rFonts w:ascii="宋体" w:eastAsia="宋体" w:hAnsi="宋体"/>
          <w:sz w:val="21"/>
        </w:rPr>
        <w:t xml:space="preserve">** </w:t>
      </w:r>
      <w:r>
        <w:rPr>
          <w:rFonts w:ascii="宋体" w:eastAsia="宋体" w:hAnsi="宋体"/>
          <w:sz w:val="21"/>
        </w:rPr>
        <w:t>本研究产出的人工物包括：三条角色重塑设计原则（概念性人工物）、</w:t>
      </w:r>
      <w:r>
        <w:rPr>
          <w:rFonts w:ascii="宋体" w:eastAsia="宋体" w:hAnsi="宋体"/>
          <w:sz w:val="21"/>
        </w:rPr>
        <w:t>9-Agent</w:t>
      </w:r>
      <w:r>
        <w:rPr>
          <w:rFonts w:ascii="宋体" w:eastAsia="宋体" w:hAnsi="宋体"/>
          <w:sz w:val="21"/>
        </w:rPr>
        <w:t>双向映射表（模型性人工物）、提示词四层模板与</w:t>
      </w:r>
      <w:r>
        <w:rPr>
          <w:rFonts w:ascii="宋体" w:eastAsia="宋体" w:hAnsi="宋体"/>
          <w:sz w:val="21"/>
        </w:rPr>
        <w:t>RAG</w:t>
      </w:r>
      <w:r>
        <w:rPr>
          <w:rFonts w:ascii="宋体" w:eastAsia="宋体" w:hAnsi="宋体"/>
          <w:sz w:val="21"/>
        </w:rPr>
        <w:t>知识库架构（实例化人工物）、以及</w:t>
      </w:r>
      <w:r>
        <w:rPr>
          <w:rFonts w:ascii="宋体" w:eastAsia="宋体" w:hAnsi="宋体"/>
          <w:sz w:val="21"/>
        </w:rPr>
        <w:t>Agent-S/Agent-B</w:t>
      </w:r>
      <w:r>
        <w:rPr>
          <w:rFonts w:ascii="宋体" w:eastAsia="宋体" w:hAnsi="宋体"/>
          <w:sz w:val="21"/>
        </w:rPr>
        <w:t>两个深度设计案例（方法性人工物）。四项人工物共同构成双向映射设计方法论的可操作知识体系。</w:t>
      </w:r>
    </w:p>
    <w:p w14:paraId="14214B61" w14:textId="77777777" w:rsidR="00C41D95" w:rsidRDefault="00E312B2">
      <w:pPr>
        <w:spacing w:after="80" w:line="360" w:lineRule="auto"/>
        <w:ind w:firstLine="420"/>
      </w:pPr>
      <w:r>
        <w:rPr>
          <w:rFonts w:ascii="宋体" w:eastAsia="宋体" w:hAnsi="宋体"/>
          <w:sz w:val="21"/>
        </w:rPr>
        <w:t>**</w:t>
      </w:r>
      <w:r>
        <w:rPr>
          <w:rFonts w:ascii="宋体" w:eastAsia="宋体" w:hAnsi="宋体"/>
          <w:sz w:val="21"/>
        </w:rPr>
        <w:t>指南二：问题相关性。</w:t>
      </w:r>
      <w:r>
        <w:rPr>
          <w:rFonts w:ascii="宋体" w:eastAsia="宋体" w:hAnsi="宋体"/>
          <w:sz w:val="21"/>
        </w:rPr>
        <w:t xml:space="preserve">** </w:t>
      </w:r>
      <w:r>
        <w:rPr>
          <w:rFonts w:ascii="宋体" w:eastAsia="宋体" w:hAnsi="宋体"/>
          <w:sz w:val="21"/>
        </w:rPr>
        <w:t>本研究所针对的问题</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教中心化</w:t>
      </w:r>
      <w:r>
        <w:rPr>
          <w:rFonts w:ascii="宋体" w:eastAsia="宋体" w:hAnsi="宋体"/>
          <w:sz w:val="21"/>
        </w:rPr>
        <w:t>”</w:t>
      </w:r>
      <w:r>
        <w:rPr>
          <w:rFonts w:ascii="宋体" w:eastAsia="宋体" w:hAnsi="宋体"/>
          <w:sz w:val="21"/>
        </w:rPr>
        <w:t>与角色单薄</w:t>
      </w:r>
      <w:r>
        <w:rPr>
          <w:rFonts w:ascii="宋体" w:eastAsia="宋体" w:hAnsi="宋体"/>
          <w:sz w:val="21"/>
        </w:rPr>
        <w:t>——</w:t>
      </w:r>
      <w:r>
        <w:rPr>
          <w:rFonts w:ascii="宋体" w:eastAsia="宋体" w:hAnsi="宋体"/>
          <w:sz w:val="21"/>
        </w:rPr>
        <w:t>已在引言中通过文献系统论证其现实性和紧迫性。教师</w:t>
      </w:r>
      <w:r>
        <w:rPr>
          <w:rFonts w:ascii="宋体" w:eastAsia="宋体" w:hAnsi="宋体"/>
          <w:sz w:val="21"/>
        </w:rPr>
        <w:t>Agent</w:t>
      </w:r>
      <w:r>
        <w:rPr>
          <w:rFonts w:ascii="宋体" w:eastAsia="宋体" w:hAnsi="宋体"/>
          <w:sz w:val="21"/>
        </w:rPr>
        <w:t>在教学文档生产中的实际运行（人工审校修正率约</w:t>
      </w:r>
      <w:r>
        <w:rPr>
          <w:rFonts w:ascii="宋体" w:eastAsia="宋体" w:hAnsi="宋体"/>
          <w:sz w:val="21"/>
        </w:rPr>
        <w:t>15%</w:t>
      </w:r>
      <w:r>
        <w:rPr>
          <w:rFonts w:ascii="宋体" w:eastAsia="宋体" w:hAnsi="宋体"/>
          <w:sz w:val="21"/>
        </w:rPr>
        <w:t>）初步表明该设计方案回应该问题的技术可行性。</w:t>
      </w:r>
    </w:p>
    <w:p w14:paraId="5C55774B" w14:textId="77777777" w:rsidR="00C41D95" w:rsidRDefault="00E312B2">
      <w:pPr>
        <w:spacing w:after="80" w:line="360" w:lineRule="auto"/>
        <w:ind w:firstLine="420"/>
      </w:pPr>
      <w:r>
        <w:rPr>
          <w:rFonts w:ascii="宋体" w:eastAsia="宋体" w:hAnsi="宋体"/>
          <w:sz w:val="21"/>
        </w:rPr>
        <w:t>**</w:t>
      </w:r>
      <w:r>
        <w:rPr>
          <w:rFonts w:ascii="宋体" w:eastAsia="宋体" w:hAnsi="宋体"/>
          <w:sz w:val="21"/>
        </w:rPr>
        <w:t>指南三：设计评价。</w:t>
      </w:r>
      <w:r>
        <w:rPr>
          <w:rFonts w:ascii="宋体" w:eastAsia="宋体" w:hAnsi="宋体"/>
          <w:sz w:val="21"/>
        </w:rPr>
        <w:t xml:space="preserve">** </w:t>
      </w:r>
      <w:r>
        <w:rPr>
          <w:rFonts w:ascii="宋体" w:eastAsia="宋体" w:hAnsi="宋体"/>
          <w:sz w:val="21"/>
        </w:rPr>
        <w:t>本研究采用两种评价方式。其一，比较性评价</w:t>
      </w:r>
      <w:r>
        <w:rPr>
          <w:rFonts w:ascii="宋体" w:eastAsia="宋体" w:hAnsi="宋体"/>
          <w:sz w:val="21"/>
        </w:rPr>
        <w:t>——</w:t>
      </w:r>
      <w:r>
        <w:rPr>
          <w:rFonts w:ascii="宋体" w:eastAsia="宋体" w:hAnsi="宋体"/>
          <w:sz w:val="21"/>
        </w:rPr>
        <w:t>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体系与</w:t>
      </w:r>
      <w:r>
        <w:rPr>
          <w:rFonts w:ascii="宋体" w:eastAsia="宋体" w:hAnsi="宋体"/>
          <w:sz w:val="21"/>
        </w:rPr>
        <w:t>ChatGPT</w:t>
      </w:r>
      <w:r>
        <w:rPr>
          <w:rFonts w:ascii="宋体" w:eastAsia="宋体" w:hAnsi="宋体"/>
          <w:sz w:val="21"/>
        </w:rPr>
        <w:t>、</w:t>
      </w:r>
      <w:r>
        <w:rPr>
          <w:rFonts w:ascii="宋体" w:eastAsia="宋体" w:hAnsi="宋体"/>
          <w:sz w:val="21"/>
        </w:rPr>
        <w:t>Khanmigo</w:t>
      </w:r>
      <w:r>
        <w:rPr>
          <w:rFonts w:ascii="宋体" w:eastAsia="宋体" w:hAnsi="宋体"/>
          <w:sz w:val="21"/>
        </w:rPr>
        <w:t>、超星</w:t>
      </w:r>
      <w:r>
        <w:rPr>
          <w:rFonts w:ascii="宋体" w:eastAsia="宋体" w:hAnsi="宋体"/>
          <w:sz w:val="21"/>
        </w:rPr>
        <w:t>AI</w:t>
      </w:r>
      <w:r>
        <w:rPr>
          <w:rFonts w:ascii="宋体" w:eastAsia="宋体" w:hAnsi="宋体"/>
          <w:sz w:val="21"/>
        </w:rPr>
        <w:t>助手、</w:t>
      </w:r>
      <w:r>
        <w:rPr>
          <w:rFonts w:ascii="宋体" w:eastAsia="宋体" w:hAnsi="宋体"/>
          <w:sz w:val="21"/>
        </w:rPr>
        <w:t>Squirrel AI</w:t>
      </w:r>
      <w:r>
        <w:rPr>
          <w:rFonts w:ascii="宋体" w:eastAsia="宋体" w:hAnsi="宋体"/>
          <w:sz w:val="21"/>
        </w:rPr>
        <w:t>进行六维度对比，验证了</w:t>
      </w:r>
      <w:r>
        <w:rPr>
          <w:rFonts w:ascii="宋体" w:eastAsia="宋体" w:hAnsi="宋体"/>
          <w:sz w:val="21"/>
        </w:rPr>
        <w:t>“</w:t>
      </w:r>
      <w:r>
        <w:rPr>
          <w:rFonts w:ascii="宋体" w:eastAsia="宋体" w:hAnsi="宋体"/>
          <w:sz w:val="21"/>
        </w:rPr>
        <w:t>角色分工以能力边界为导向</w:t>
      </w:r>
      <w:r>
        <w:rPr>
          <w:rFonts w:ascii="宋体" w:eastAsia="宋体" w:hAnsi="宋体"/>
          <w:sz w:val="21"/>
        </w:rPr>
        <w:t>”“</w:t>
      </w:r>
      <w:r>
        <w:rPr>
          <w:rFonts w:ascii="宋体" w:eastAsia="宋体" w:hAnsi="宋体"/>
          <w:sz w:val="21"/>
        </w:rPr>
        <w:t>双向映射以使用者为中心重新参数化</w:t>
      </w:r>
      <w:r>
        <w:rPr>
          <w:rFonts w:ascii="宋体" w:eastAsia="宋体" w:hAnsi="宋体"/>
          <w:sz w:val="21"/>
        </w:rPr>
        <w:t>”</w:t>
      </w:r>
      <w:r>
        <w:rPr>
          <w:rFonts w:ascii="宋体" w:eastAsia="宋体" w:hAnsi="宋体"/>
          <w:sz w:val="21"/>
        </w:rPr>
        <w:t>两条设计主张相对于现有系统的差异化优势。其二，描述性评价</w:t>
      </w:r>
      <w:r>
        <w:rPr>
          <w:rFonts w:ascii="宋体" w:eastAsia="宋体" w:hAnsi="宋体"/>
          <w:sz w:val="21"/>
        </w:rPr>
        <w:t>——</w:t>
      </w:r>
      <w:r>
        <w:rPr>
          <w:rFonts w:ascii="宋体" w:eastAsia="宋体" w:hAnsi="宋体"/>
          <w:sz w:val="21"/>
        </w:rPr>
        <w:t>教师端</w:t>
      </w:r>
      <w:r>
        <w:rPr>
          <w:rFonts w:ascii="宋体" w:eastAsia="宋体" w:hAnsi="宋体"/>
          <w:sz w:val="21"/>
        </w:rPr>
        <w:t>Agent</w:t>
      </w:r>
      <w:r>
        <w:rPr>
          <w:rFonts w:ascii="宋体" w:eastAsia="宋体" w:hAnsi="宋体"/>
          <w:sz w:val="21"/>
        </w:rPr>
        <w:t>产出的</w:t>
      </w:r>
      <w:r>
        <w:rPr>
          <w:rFonts w:ascii="宋体" w:eastAsia="宋体" w:hAnsi="宋体"/>
          <w:sz w:val="21"/>
        </w:rPr>
        <w:t>15%</w:t>
      </w:r>
      <w:r>
        <w:rPr>
          <w:rFonts w:ascii="宋体" w:eastAsia="宋体" w:hAnsi="宋体"/>
          <w:sz w:val="21"/>
        </w:rPr>
        <w:t>人工修正率和学生端</w:t>
      </w:r>
      <w:r>
        <w:rPr>
          <w:rFonts w:ascii="宋体" w:eastAsia="宋体" w:hAnsi="宋体"/>
          <w:sz w:val="21"/>
        </w:rPr>
        <w:t>5</w:t>
      </w:r>
      <w:r>
        <w:rPr>
          <w:rFonts w:ascii="宋体" w:eastAsia="宋体" w:hAnsi="宋体"/>
          <w:sz w:val="21"/>
        </w:rPr>
        <w:t>名研究生</w:t>
      </w:r>
      <w:r>
        <w:rPr>
          <w:rFonts w:ascii="宋体" w:eastAsia="宋体" w:hAnsi="宋体"/>
          <w:sz w:val="21"/>
        </w:rPr>
        <w:t>/2</w:t>
      </w:r>
      <w:r>
        <w:rPr>
          <w:rFonts w:ascii="宋体" w:eastAsia="宋体" w:hAnsi="宋体"/>
          <w:sz w:val="21"/>
        </w:rPr>
        <w:t>周试用中的</w:t>
      </w:r>
      <w:r>
        <w:rPr>
          <w:rFonts w:ascii="宋体" w:eastAsia="宋体" w:hAnsi="宋体"/>
          <w:sz w:val="21"/>
        </w:rPr>
        <w:t>4/5</w:t>
      </w:r>
      <w:r>
        <w:rPr>
          <w:rFonts w:ascii="宋体" w:eastAsia="宋体" w:hAnsi="宋体"/>
          <w:sz w:val="21"/>
        </w:rPr>
        <w:t>〜</w:t>
      </w:r>
      <w:r>
        <w:rPr>
          <w:rFonts w:ascii="宋体" w:eastAsia="宋体" w:hAnsi="宋体"/>
          <w:sz w:val="21"/>
        </w:rPr>
        <w:t>5/5</w:t>
      </w:r>
      <w:r>
        <w:rPr>
          <w:rFonts w:ascii="宋体" w:eastAsia="宋体" w:hAnsi="宋体"/>
          <w:sz w:val="21"/>
        </w:rPr>
        <w:t>认同率，为该设计方案提供了初步的效用信号，尽管样本量限制使其仅具定性参照意义。</w:t>
      </w:r>
    </w:p>
    <w:p w14:paraId="55CE54C8" w14:textId="77777777" w:rsidR="00C41D95" w:rsidRDefault="00E312B2">
      <w:pPr>
        <w:spacing w:after="80" w:line="360" w:lineRule="auto"/>
        <w:ind w:firstLine="420"/>
      </w:pPr>
      <w:r>
        <w:rPr>
          <w:rFonts w:ascii="宋体" w:eastAsia="宋体" w:hAnsi="宋体"/>
          <w:sz w:val="21"/>
        </w:rPr>
        <w:t>**</w:t>
      </w:r>
      <w:r>
        <w:rPr>
          <w:rFonts w:ascii="宋体" w:eastAsia="宋体" w:hAnsi="宋体"/>
          <w:sz w:val="21"/>
        </w:rPr>
        <w:t>指南四：研究贡献。</w:t>
      </w:r>
      <w:r>
        <w:rPr>
          <w:rFonts w:ascii="宋体" w:eastAsia="宋体" w:hAnsi="宋体"/>
          <w:sz w:val="21"/>
        </w:rPr>
        <w:t xml:space="preserve">** </w:t>
      </w:r>
      <w:r>
        <w:rPr>
          <w:rFonts w:ascii="宋体" w:eastAsia="宋体" w:hAnsi="宋体"/>
          <w:sz w:val="21"/>
        </w:rPr>
        <w:t>本研究的核心贡献在于提供了双向映射这一设计知识（</w:t>
      </w:r>
      <w:r>
        <w:rPr>
          <w:rFonts w:ascii="宋体" w:eastAsia="宋体" w:hAnsi="宋体"/>
          <w:sz w:val="21"/>
        </w:rPr>
        <w:t>Design Knowledge</w:t>
      </w:r>
      <w:r>
        <w:rPr>
          <w:rFonts w:ascii="宋体" w:eastAsia="宋体" w:hAnsi="宋体"/>
          <w:sz w:val="21"/>
        </w:rPr>
        <w:t>），其形式为三条原则</w:t>
      </w:r>
      <w:r>
        <w:rPr>
          <w:rFonts w:ascii="宋体" w:eastAsia="宋体" w:hAnsi="宋体"/>
          <w:sz w:val="21"/>
        </w:rPr>
        <w:t>+</w:t>
      </w:r>
      <w:r>
        <w:rPr>
          <w:rFonts w:ascii="宋体" w:eastAsia="宋体" w:hAnsi="宋体"/>
          <w:sz w:val="21"/>
        </w:rPr>
        <w:t>一张映射表</w:t>
      </w:r>
      <w:r>
        <w:rPr>
          <w:rFonts w:ascii="宋体" w:eastAsia="宋体" w:hAnsi="宋体"/>
          <w:sz w:val="21"/>
        </w:rPr>
        <w:t>+</w:t>
      </w:r>
      <w:r>
        <w:rPr>
          <w:rFonts w:ascii="宋体" w:eastAsia="宋体" w:hAnsi="宋体"/>
          <w:sz w:val="21"/>
        </w:rPr>
        <w:t>两个深度案例，属于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所定义的</w:t>
      </w:r>
      <w:r>
        <w:rPr>
          <w:rFonts w:ascii="宋体" w:eastAsia="宋体" w:hAnsi="宋体"/>
          <w:sz w:val="21"/>
        </w:rPr>
        <w:t>“</w:t>
      </w:r>
      <w:r>
        <w:rPr>
          <w:rFonts w:ascii="宋体" w:eastAsia="宋体" w:hAnsi="宋体"/>
          <w:sz w:val="21"/>
        </w:rPr>
        <w:t>设计理论</w:t>
      </w:r>
      <w:r>
        <w:rPr>
          <w:rFonts w:ascii="宋体" w:eastAsia="宋体" w:hAnsi="宋体"/>
          <w:sz w:val="21"/>
        </w:rPr>
        <w:t>”</w:t>
      </w:r>
      <w:r>
        <w:rPr>
          <w:rFonts w:ascii="宋体" w:eastAsia="宋体" w:hAnsi="宋体"/>
          <w:sz w:val="21"/>
        </w:rPr>
        <w:t>层级</w:t>
      </w:r>
      <w:r>
        <w:rPr>
          <w:rFonts w:ascii="宋体" w:eastAsia="宋体" w:hAnsi="宋体"/>
          <w:sz w:val="21"/>
        </w:rPr>
        <w:t>——</w:t>
      </w:r>
      <w:r>
        <w:rPr>
          <w:rFonts w:ascii="宋体" w:eastAsia="宋体" w:hAnsi="宋体"/>
          <w:sz w:val="21"/>
        </w:rPr>
        <w:t>介于具体实例与抽象理论之间的中层知识。</w:t>
      </w:r>
    </w:p>
    <w:p w14:paraId="67976302" w14:textId="77777777" w:rsidR="00C41D95" w:rsidRDefault="00E312B2">
      <w:pPr>
        <w:spacing w:after="80" w:line="360" w:lineRule="auto"/>
        <w:ind w:firstLine="420"/>
      </w:pPr>
      <w:r>
        <w:rPr>
          <w:rFonts w:ascii="宋体" w:eastAsia="宋体" w:hAnsi="宋体"/>
          <w:sz w:val="21"/>
        </w:rPr>
        <w:t>**</w:t>
      </w:r>
      <w:r>
        <w:rPr>
          <w:rFonts w:ascii="宋体" w:eastAsia="宋体" w:hAnsi="宋体"/>
          <w:sz w:val="21"/>
        </w:rPr>
        <w:t>指南五：研究严谨性。</w:t>
      </w:r>
      <w:r>
        <w:rPr>
          <w:rFonts w:ascii="宋体" w:eastAsia="宋体" w:hAnsi="宋体"/>
          <w:sz w:val="21"/>
        </w:rPr>
        <w:t xml:space="preserve">** </w:t>
      </w:r>
      <w:r>
        <w:rPr>
          <w:rFonts w:ascii="宋体" w:eastAsia="宋体" w:hAnsi="宋体"/>
          <w:sz w:val="21"/>
        </w:rPr>
        <w:t>设计原则的推导严格遵循</w:t>
      </w:r>
      <w:r>
        <w:rPr>
          <w:rFonts w:ascii="宋体" w:eastAsia="宋体" w:hAnsi="宋体"/>
          <w:sz w:val="21"/>
        </w:rPr>
        <w:t>“</w:t>
      </w:r>
      <w:r>
        <w:rPr>
          <w:rFonts w:ascii="宋体" w:eastAsia="宋体" w:hAnsi="宋体"/>
          <w:sz w:val="21"/>
        </w:rPr>
        <w:t>问题诊断</w:t>
      </w:r>
      <w:r>
        <w:rPr>
          <w:rFonts w:ascii="宋体" w:eastAsia="宋体" w:hAnsi="宋体"/>
          <w:sz w:val="21"/>
        </w:rPr>
        <w:t>→</w:t>
      </w:r>
      <w:r>
        <w:rPr>
          <w:rFonts w:ascii="宋体" w:eastAsia="宋体" w:hAnsi="宋体"/>
          <w:sz w:val="21"/>
        </w:rPr>
        <w:t>设计响应</w:t>
      </w:r>
      <w:r>
        <w:rPr>
          <w:rFonts w:ascii="宋体" w:eastAsia="宋体" w:hAnsi="宋体"/>
          <w:sz w:val="21"/>
        </w:rPr>
        <w:t>→</w:t>
      </w:r>
      <w:r>
        <w:rPr>
          <w:rFonts w:ascii="宋体" w:eastAsia="宋体" w:hAnsi="宋体"/>
          <w:sz w:val="21"/>
        </w:rPr>
        <w:t>案例验证</w:t>
      </w:r>
      <w:r>
        <w:rPr>
          <w:rFonts w:ascii="宋体" w:eastAsia="宋体" w:hAnsi="宋体"/>
          <w:sz w:val="21"/>
        </w:rPr>
        <w:t>”</w:t>
      </w:r>
      <w:r>
        <w:rPr>
          <w:rFonts w:ascii="宋体" w:eastAsia="宋体" w:hAnsi="宋体"/>
          <w:sz w:val="21"/>
        </w:rPr>
        <w:t>的逻辑链：三个结构缺陷各对应一条设计原则，每条原则又对应映射表中的具体角色转化。案例选择（</w:t>
      </w:r>
      <w:r>
        <w:rPr>
          <w:rFonts w:ascii="宋体" w:eastAsia="宋体" w:hAnsi="宋体"/>
          <w:sz w:val="21"/>
        </w:rPr>
        <w:t>Agent-S</w:t>
      </w:r>
      <w:r>
        <w:rPr>
          <w:rFonts w:ascii="宋体" w:eastAsia="宋体" w:hAnsi="宋体"/>
          <w:sz w:val="21"/>
        </w:rPr>
        <w:t>与</w:t>
      </w:r>
      <w:r>
        <w:rPr>
          <w:rFonts w:ascii="宋体" w:eastAsia="宋体" w:hAnsi="宋体"/>
          <w:sz w:val="21"/>
        </w:rPr>
        <w:t>Agent-B</w:t>
      </w:r>
      <w:r>
        <w:rPr>
          <w:rFonts w:ascii="宋体" w:eastAsia="宋体" w:hAnsi="宋体"/>
          <w:sz w:val="21"/>
        </w:rPr>
        <w:t>）覆盖了映射表中角色跨度最小和最大的两端，确保设计知识的边界可感知。</w:t>
      </w:r>
    </w:p>
    <w:p w14:paraId="35BE2236" w14:textId="77777777" w:rsidR="00C41D95" w:rsidRDefault="00E312B2">
      <w:pPr>
        <w:spacing w:after="80" w:line="360" w:lineRule="auto"/>
        <w:ind w:firstLine="420"/>
      </w:pPr>
      <w:r>
        <w:rPr>
          <w:rFonts w:ascii="宋体" w:eastAsia="宋体" w:hAnsi="宋体"/>
          <w:sz w:val="21"/>
        </w:rPr>
        <w:t>**</w:t>
      </w:r>
      <w:r>
        <w:rPr>
          <w:rFonts w:ascii="宋体" w:eastAsia="宋体" w:hAnsi="宋体"/>
          <w:sz w:val="21"/>
        </w:rPr>
        <w:t>指南六：设计作为搜索过程。</w:t>
      </w:r>
      <w:r>
        <w:rPr>
          <w:rFonts w:ascii="宋体" w:eastAsia="宋体" w:hAnsi="宋体"/>
          <w:sz w:val="21"/>
        </w:rPr>
        <w:t>** 9-Agent</w:t>
      </w:r>
      <w:r>
        <w:rPr>
          <w:rFonts w:ascii="宋体" w:eastAsia="宋体" w:hAnsi="宋体"/>
          <w:sz w:val="21"/>
        </w:rPr>
        <w:t>体系的迭代经历了</w:t>
      </w:r>
      <w:r>
        <w:rPr>
          <w:rFonts w:ascii="宋体" w:eastAsia="宋体" w:hAnsi="宋体"/>
          <w:sz w:val="21"/>
        </w:rPr>
        <w:t>v1.0</w:t>
      </w:r>
      <w:r>
        <w:rPr>
          <w:rFonts w:ascii="宋体" w:eastAsia="宋体" w:hAnsi="宋体"/>
          <w:sz w:val="21"/>
        </w:rPr>
        <w:t>（传统讲授）、</w:t>
      </w:r>
      <w:r>
        <w:rPr>
          <w:rFonts w:ascii="宋体" w:eastAsia="宋体" w:hAnsi="宋体"/>
          <w:sz w:val="21"/>
        </w:rPr>
        <w:t>v2.0</w:t>
      </w:r>
      <w:r>
        <w:rPr>
          <w:rFonts w:ascii="宋体" w:eastAsia="宋体" w:hAnsi="宋体"/>
          <w:sz w:val="21"/>
        </w:rPr>
        <w:t>（试点</w:t>
      </w:r>
      <w:r>
        <w:rPr>
          <w:rFonts w:ascii="宋体" w:eastAsia="宋体" w:hAnsi="宋体"/>
          <w:sz w:val="21"/>
        </w:rPr>
        <w:t>NFSC</w:t>
      </w:r>
      <w:r>
        <w:rPr>
          <w:rFonts w:ascii="宋体" w:eastAsia="宋体" w:hAnsi="宋体"/>
          <w:sz w:val="21"/>
        </w:rPr>
        <w:t>框架）、</w:t>
      </w:r>
      <w:r>
        <w:rPr>
          <w:rFonts w:ascii="宋体" w:eastAsia="宋体" w:hAnsi="宋体"/>
          <w:sz w:val="21"/>
        </w:rPr>
        <w:t>v3.0</w:t>
      </w:r>
      <w:r>
        <w:rPr>
          <w:rFonts w:ascii="宋体" w:eastAsia="宋体" w:hAnsi="宋体"/>
          <w:sz w:val="21"/>
        </w:rPr>
        <w:t>（完整双向映射）三个版本，每次迭代均基于上一轮的反馈调整</w:t>
      </w:r>
      <w:r>
        <w:rPr>
          <w:rFonts w:ascii="宋体" w:eastAsia="宋体" w:hAnsi="宋体"/>
          <w:sz w:val="21"/>
        </w:rPr>
        <w:t>Agent</w:t>
      </w:r>
      <w:r>
        <w:rPr>
          <w:rFonts w:ascii="宋体" w:eastAsia="宋体" w:hAnsi="宋体"/>
          <w:sz w:val="21"/>
        </w:rPr>
        <w:t>角色定义和提示词模板。这一过程体现了设计科学研究中</w:t>
      </w:r>
      <w:r>
        <w:rPr>
          <w:rFonts w:ascii="宋体" w:eastAsia="宋体" w:hAnsi="宋体"/>
          <w:sz w:val="21"/>
        </w:rPr>
        <w:t>“</w:t>
      </w:r>
      <w:r>
        <w:rPr>
          <w:rFonts w:ascii="宋体" w:eastAsia="宋体" w:hAnsi="宋体"/>
          <w:sz w:val="21"/>
        </w:rPr>
        <w:t>生成</w:t>
      </w:r>
      <w:r>
        <w:rPr>
          <w:rFonts w:ascii="宋体" w:eastAsia="宋体" w:hAnsi="宋体"/>
          <w:sz w:val="21"/>
        </w:rPr>
        <w:t>-</w:t>
      </w:r>
      <w:r>
        <w:rPr>
          <w:rFonts w:ascii="宋体" w:eastAsia="宋体" w:hAnsi="宋体"/>
          <w:sz w:val="21"/>
        </w:rPr>
        <w:t>测试</w:t>
      </w:r>
      <w:r>
        <w:rPr>
          <w:rFonts w:ascii="宋体" w:eastAsia="宋体" w:hAnsi="宋体"/>
          <w:sz w:val="21"/>
        </w:rPr>
        <w:t>”</w:t>
      </w:r>
      <w:r>
        <w:rPr>
          <w:rFonts w:ascii="宋体" w:eastAsia="宋体" w:hAnsi="宋体"/>
          <w:sz w:val="21"/>
        </w:rPr>
        <w:t>的搜索特征。</w:t>
      </w:r>
    </w:p>
    <w:p w14:paraId="5A334D54" w14:textId="77777777" w:rsidR="00C41D95" w:rsidRDefault="00E312B2">
      <w:pPr>
        <w:spacing w:after="80" w:line="360" w:lineRule="auto"/>
        <w:ind w:firstLine="420"/>
      </w:pPr>
      <w:r>
        <w:rPr>
          <w:rFonts w:ascii="宋体" w:eastAsia="宋体" w:hAnsi="宋体"/>
          <w:sz w:val="21"/>
        </w:rPr>
        <w:t>**</w:t>
      </w:r>
      <w:r>
        <w:rPr>
          <w:rFonts w:ascii="宋体" w:eastAsia="宋体" w:hAnsi="宋体"/>
          <w:sz w:val="21"/>
        </w:rPr>
        <w:t>指南七：研究沟通。</w:t>
      </w:r>
      <w:r>
        <w:rPr>
          <w:rFonts w:ascii="宋体" w:eastAsia="宋体" w:hAnsi="宋体"/>
          <w:sz w:val="21"/>
        </w:rPr>
        <w:t xml:space="preserve">** </w:t>
      </w:r>
      <w:r>
        <w:rPr>
          <w:rFonts w:ascii="宋体" w:eastAsia="宋体" w:hAnsi="宋体"/>
          <w:sz w:val="21"/>
        </w:rPr>
        <w:t>本研究同时面向技术导向型读者（通过提示词四层结构和</w:t>
      </w:r>
      <w:r>
        <w:rPr>
          <w:rFonts w:ascii="宋体" w:eastAsia="宋体" w:hAnsi="宋体"/>
          <w:sz w:val="21"/>
        </w:rPr>
        <w:t>RAG</w:t>
      </w:r>
      <w:r>
        <w:rPr>
          <w:rFonts w:ascii="宋体" w:eastAsia="宋体" w:hAnsi="宋体"/>
          <w:sz w:val="21"/>
        </w:rPr>
        <w:t>架构描述）和管理导向型读者（通过双向映射方法论框架和迁移路径讨论），兼顾设计知识的技术可行性与组织可采纳性。</w:t>
      </w:r>
    </w:p>
    <w:p w14:paraId="7D2A75F0" w14:textId="77777777" w:rsidR="00C41D95" w:rsidRDefault="00E312B2">
      <w:pPr>
        <w:spacing w:after="80" w:line="360" w:lineRule="auto"/>
        <w:ind w:firstLine="420"/>
      </w:pPr>
      <w:r>
        <w:rPr>
          <w:rFonts w:ascii="宋体" w:eastAsia="宋体" w:hAnsi="宋体"/>
          <w:sz w:val="21"/>
        </w:rPr>
        <w:t>综上，</w:t>
      </w:r>
      <w:r>
        <w:rPr>
          <w:rFonts w:ascii="宋体" w:eastAsia="宋体" w:hAnsi="宋体"/>
          <w:sz w:val="21"/>
        </w:rPr>
        <w:t>Hevner</w:t>
      </w:r>
      <w:r>
        <w:rPr>
          <w:rFonts w:ascii="宋体" w:eastAsia="宋体" w:hAnsi="宋体"/>
          <w:sz w:val="21"/>
        </w:rPr>
        <w:t>七条指南的自评表明，本研究作为设计方法论论文，在设计问题定义、人工物产出、贡献定位和研究严谨性方面达到设计要求；在设计评价的实证强度方面仍有提升空间，主要表现为试用样本量有限且缺乏与替代方案的受控比较。</w:t>
      </w:r>
    </w:p>
    <w:p w14:paraId="60FB8401" w14:textId="77777777" w:rsidR="00C41D95" w:rsidRDefault="00E312B2">
      <w:pPr>
        <w:spacing w:after="80" w:line="360" w:lineRule="auto"/>
        <w:ind w:firstLine="420"/>
      </w:pPr>
      <w:r>
        <w:rPr>
          <w:rFonts w:ascii="宋体" w:eastAsia="宋体" w:hAnsi="宋体"/>
          <w:sz w:val="21"/>
        </w:rPr>
        <w:t>为此，本研究提出后续设计评价方案，供读者及后续研究参考。该方案采用结构化专家走查法（</w:t>
      </w:r>
      <w:r>
        <w:rPr>
          <w:rFonts w:ascii="宋体" w:eastAsia="宋体" w:hAnsi="宋体"/>
          <w:sz w:val="21"/>
        </w:rPr>
        <w:t>Structured Expert Walkthrough</w:t>
      </w:r>
      <w:r>
        <w:rPr>
          <w:rFonts w:ascii="宋体" w:eastAsia="宋体" w:hAnsi="宋体"/>
          <w:sz w:val="21"/>
        </w:rPr>
        <w:t>），邀请三至五位具有研究生课程教学经验且对</w:t>
      </w:r>
      <w:r>
        <w:rPr>
          <w:rFonts w:ascii="宋体" w:eastAsia="宋体" w:hAnsi="宋体"/>
          <w:sz w:val="21"/>
        </w:rPr>
        <w:t>AI</w:t>
      </w:r>
      <w:r>
        <w:rPr>
          <w:rFonts w:ascii="宋体" w:eastAsia="宋体" w:hAnsi="宋体"/>
          <w:sz w:val="21"/>
        </w:rPr>
        <w:t>教育工具有一定了解的同行教师参与。走查分三轮进行。第一轮为设计原则审查</w:t>
      </w:r>
      <w:r>
        <w:rPr>
          <w:rFonts w:ascii="宋体" w:eastAsia="宋体" w:hAnsi="宋体"/>
          <w:sz w:val="21"/>
        </w:rPr>
        <w:t>——</w:t>
      </w:r>
      <w:r>
        <w:rPr>
          <w:rFonts w:ascii="宋体" w:eastAsia="宋体" w:hAnsi="宋体"/>
          <w:sz w:val="21"/>
        </w:rPr>
        <w:t>专家独立阅读三条设计原则及其推导逻辑，完成七点</w:t>
      </w:r>
      <w:r>
        <w:rPr>
          <w:rFonts w:ascii="宋体" w:eastAsia="宋体" w:hAnsi="宋体"/>
          <w:sz w:val="21"/>
        </w:rPr>
        <w:t>Likert</w:t>
      </w:r>
      <w:r>
        <w:rPr>
          <w:rFonts w:ascii="宋体" w:eastAsia="宋体" w:hAnsi="宋体"/>
          <w:sz w:val="21"/>
        </w:rPr>
        <w:t>量表评估（清晰性、完备性、可操作性、创新性、与问题的对应性、与已有方法的差异性、可迁移性），并标注任一条原则中理解困难或逻辑跳跃之处。第二轮为映射表走查</w:t>
      </w:r>
      <w:r>
        <w:rPr>
          <w:rFonts w:ascii="宋体" w:eastAsia="宋体" w:hAnsi="宋体"/>
          <w:sz w:val="21"/>
        </w:rPr>
        <w:t>——</w:t>
      </w:r>
      <w:r>
        <w:rPr>
          <w:rFonts w:ascii="宋体" w:eastAsia="宋体" w:hAnsi="宋体"/>
          <w:sz w:val="21"/>
        </w:rPr>
        <w:t>专家依据双向映射表，逐一比对教师端</w:t>
      </w:r>
      <w:r>
        <w:rPr>
          <w:rFonts w:ascii="宋体" w:eastAsia="宋体" w:hAnsi="宋体"/>
          <w:sz w:val="21"/>
        </w:rPr>
        <w:t>Agent</w:t>
      </w:r>
      <w:r>
        <w:rPr>
          <w:rFonts w:ascii="宋体" w:eastAsia="宋体" w:hAnsi="宋体"/>
          <w:sz w:val="21"/>
        </w:rPr>
        <w:t>角色定义与学生端</w:t>
      </w:r>
      <w:r>
        <w:rPr>
          <w:rFonts w:ascii="宋体" w:eastAsia="宋体" w:hAnsi="宋体"/>
          <w:sz w:val="21"/>
        </w:rPr>
        <w:t>Agent</w:t>
      </w:r>
      <w:r>
        <w:rPr>
          <w:rFonts w:ascii="宋体" w:eastAsia="宋体" w:hAnsi="宋体"/>
          <w:sz w:val="21"/>
        </w:rPr>
        <w:t>角色定义，完成一致性评估表（角</w:t>
      </w:r>
      <w:r>
        <w:rPr>
          <w:rFonts w:ascii="宋体" w:eastAsia="宋体" w:hAnsi="宋体"/>
          <w:sz w:val="21"/>
        </w:rPr>
        <w:lastRenderedPageBreak/>
        <w:t>色名称是否恰当、职能描述是否准确、教师</w:t>
      </w:r>
      <w:r>
        <w:rPr>
          <w:rFonts w:ascii="宋体" w:eastAsia="宋体" w:hAnsi="宋体"/>
          <w:sz w:val="21"/>
        </w:rPr>
        <w:t>-</w:t>
      </w:r>
      <w:r>
        <w:rPr>
          <w:rFonts w:ascii="宋体" w:eastAsia="宋体" w:hAnsi="宋体"/>
          <w:sz w:val="21"/>
        </w:rPr>
        <w:t>学生映射是否</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），并标注映射断裂或角色重叠之处。第三轮为设计案例评估</w:t>
      </w:r>
      <w:r>
        <w:rPr>
          <w:rFonts w:ascii="宋体" w:eastAsia="宋体" w:hAnsi="宋体"/>
          <w:sz w:val="21"/>
        </w:rPr>
        <w:t>——</w:t>
      </w:r>
      <w:r>
        <w:rPr>
          <w:rFonts w:ascii="宋体" w:eastAsia="宋体" w:hAnsi="宋体"/>
          <w:sz w:val="21"/>
        </w:rPr>
        <w:t>专家阅读</w:t>
      </w:r>
      <w:r>
        <w:rPr>
          <w:rFonts w:ascii="宋体" w:eastAsia="宋体" w:hAnsi="宋体"/>
          <w:sz w:val="21"/>
        </w:rPr>
        <w:t>Agent-S</w:t>
      </w:r>
      <w:r>
        <w:rPr>
          <w:rFonts w:ascii="宋体" w:eastAsia="宋体" w:hAnsi="宋体"/>
          <w:sz w:val="21"/>
        </w:rPr>
        <w:t>与</w:t>
      </w:r>
      <w:r>
        <w:rPr>
          <w:rFonts w:ascii="宋体" w:eastAsia="宋体" w:hAnsi="宋体"/>
          <w:sz w:val="21"/>
        </w:rPr>
        <w:t>Agent-B</w:t>
      </w:r>
      <w:r>
        <w:rPr>
          <w:rFonts w:ascii="宋体" w:eastAsia="宋体" w:hAnsi="宋体"/>
          <w:sz w:val="21"/>
        </w:rPr>
        <w:t>的完整案例描述（含提示词模板），完成案例充分性评估表（案例是否有效展示了角色转化的深度、边界案例是否覆盖了最大跨度和最小跨度、案例描述中是否存在未被三条原则覆盖的设计决策），并记录任何疑点或建议。三轮走查数据以描述性统计汇总，开放式意见以主题分析归纳。此方案虽尚未执行，但已提供完整的评估维度、量表和流程设计，为本研究的可验证性建立了操作框架，亦为后续实证研究提供了可</w:t>
      </w:r>
      <w:r>
        <w:rPr>
          <w:rFonts w:ascii="宋体" w:eastAsia="宋体" w:hAnsi="宋体"/>
          <w:sz w:val="21"/>
        </w:rPr>
        <w:t>直接采用的方法论模板。</w:t>
      </w:r>
    </w:p>
    <w:p w14:paraId="2C03F21B" w14:textId="77777777" w:rsidR="00C41D95" w:rsidRDefault="00E312B2">
      <w:pPr>
        <w:spacing w:after="120" w:line="360" w:lineRule="auto"/>
      </w:pPr>
      <w:r>
        <w:rPr>
          <w:rFonts w:ascii="黑体" w:eastAsia="黑体" w:hAnsi="黑体"/>
          <w:b/>
        </w:rPr>
        <w:t xml:space="preserve">3.6 </w:t>
      </w:r>
      <w:r>
        <w:rPr>
          <w:rFonts w:ascii="黑体" w:eastAsia="黑体" w:hAnsi="黑体"/>
          <w:b/>
        </w:rPr>
        <w:t>设计方法论反思与局限性讨论</w:t>
      </w:r>
    </w:p>
    <w:p w14:paraId="2E6BC42F" w14:textId="77777777" w:rsidR="00C41D95" w:rsidRDefault="00E312B2">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[9]</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[10,23]</w:t>
      </w:r>
      <w:r>
        <w:rPr>
          <w:rFonts w:ascii="宋体" w:eastAsia="宋体" w:hAnsi="宋体"/>
          <w:sz w:val="21"/>
        </w:rPr>
        <w:t>。</w:t>
      </w:r>
    </w:p>
    <w:p w14:paraId="775218C3" w14:textId="77777777" w:rsidR="00C41D95" w:rsidRDefault="00E312B2">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[24]</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[25]</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238CDAF1" w14:textId="77777777" w:rsidR="00C41D95" w:rsidRDefault="00E312B2">
      <w:pPr>
        <w:spacing w:line="360" w:lineRule="auto"/>
      </w:pPr>
      <w:r>
        <w:rPr>
          <w:rFonts w:ascii="黑体" w:eastAsia="黑体" w:hAnsi="黑体"/>
          <w:b/>
          <w:sz w:val="24"/>
        </w:rPr>
        <w:t xml:space="preserve">4 </w:t>
      </w:r>
      <w:r>
        <w:rPr>
          <w:rFonts w:ascii="黑体" w:eastAsia="黑体" w:hAnsi="黑体"/>
          <w:b/>
          <w:sz w:val="24"/>
        </w:rPr>
        <w:t>结论</w:t>
      </w:r>
    </w:p>
    <w:p w14:paraId="6DB80AD1" w14:textId="77777777" w:rsidR="00C41D95" w:rsidRDefault="00E312B2">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4883E7C4" w14:textId="77777777" w:rsidR="00C41D95" w:rsidRDefault="00E312B2">
      <w:pPr>
        <w:spacing w:after="80" w:line="360" w:lineRule="auto"/>
        <w:ind w:firstLine="420"/>
      </w:pPr>
      <w:r>
        <w:rPr>
          <w:rFonts w:ascii="宋体" w:eastAsia="宋体" w:hAnsi="宋体"/>
          <w:sz w:val="21"/>
        </w:rPr>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lastRenderedPageBreak/>
        <w:t>Agent</w:t>
      </w:r>
      <w:r>
        <w:rPr>
          <w:rFonts w:ascii="宋体" w:eastAsia="宋体" w:hAnsi="宋体"/>
          <w:sz w:val="21"/>
        </w:rPr>
        <w:t>协同体系</w:t>
      </w:r>
      <w:r>
        <w:rPr>
          <w:rFonts w:ascii="宋体" w:eastAsia="宋体" w:hAnsi="宋体"/>
          <w:sz w:val="15"/>
          <w:vertAlign w:val="superscript"/>
        </w:rPr>
        <w:t>[18]</w:t>
      </w:r>
      <w:r>
        <w:rPr>
          <w:rFonts w:ascii="宋体" w:eastAsia="宋体" w:hAnsi="宋体"/>
          <w:sz w:val="21"/>
        </w:rPr>
        <w:t>。初步试用反馈表明，</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w:t>
      </w:r>
      <w:r>
        <w:rPr>
          <w:rFonts w:ascii="宋体" w:eastAsia="宋体" w:hAnsi="宋体"/>
          <w:sz w:val="21"/>
        </w:rPr>
        <w:t>四名学生对</w:t>
      </w:r>
      <w:r>
        <w:rPr>
          <w:rFonts w:ascii="宋体" w:eastAsia="宋体" w:hAnsi="宋体"/>
          <w:sz w:val="21"/>
        </w:rPr>
        <w:t>Agent-S</w:t>
      </w:r>
      <w:r>
        <w:rPr>
          <w:rFonts w:ascii="宋体" w:eastAsia="宋体" w:hAnsi="宋体"/>
          <w:sz w:val="21"/>
        </w:rPr>
        <w:t>的冲突提炼功能表示认同，五名学生对</w:t>
      </w:r>
      <w:r>
        <w:rPr>
          <w:rFonts w:ascii="宋体" w:eastAsia="宋体" w:hAnsi="宋体"/>
          <w:sz w:val="21"/>
        </w:rPr>
        <w:t>Agent-B</w:t>
      </w:r>
      <w:r>
        <w:rPr>
          <w:rFonts w:ascii="宋体" w:eastAsia="宋体" w:hAnsi="宋体"/>
          <w:sz w:val="21"/>
        </w:rPr>
        <w:t>的论文框架建议给出了正面评价。然而，三分之二的学生提出了跨会话记忆能力缺失的问题，这指向了当前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075F1D27" w14:textId="77777777" w:rsidR="00C41D95" w:rsidRDefault="00E312B2">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66EE1790" w14:textId="77777777" w:rsidR="00C41D95" w:rsidRDefault="00E312B2">
      <w:pPr>
        <w:spacing w:line="360" w:lineRule="auto"/>
      </w:pPr>
      <w:r>
        <w:rPr>
          <w:rFonts w:ascii="黑体" w:eastAsia="黑体" w:hAnsi="黑体"/>
          <w:b/>
          <w:sz w:val="24"/>
        </w:rPr>
        <w:t>参考文献</w:t>
      </w:r>
    </w:p>
    <w:p w14:paraId="570AEA92" w14:textId="77777777" w:rsidR="00C41D95" w:rsidRDefault="00E312B2">
      <w:pPr>
        <w:spacing w:after="40" w:line="288" w:lineRule="auto"/>
      </w:pPr>
      <w:r>
        <w:rPr>
          <w:rFonts w:ascii="Times New Roman" w:hAnsi="Times New Roman"/>
          <w:sz w:val="15"/>
        </w:rPr>
        <w:t>[1] HEVNER A R, MARCH S T, PARK J, et al. Design science in information systems research[J]. MIS Quarterly, 2004, 28(1): 75-105.</w:t>
      </w:r>
    </w:p>
    <w:p w14:paraId="58D5B529" w14:textId="77777777" w:rsidR="00C41D95" w:rsidRDefault="00E312B2">
      <w:pPr>
        <w:spacing w:after="40" w:line="288" w:lineRule="auto"/>
      </w:pPr>
      <w:r>
        <w:rPr>
          <w:rFonts w:ascii="Times New Roman" w:hAnsi="Times New Roman"/>
          <w:sz w:val="15"/>
        </w:rPr>
        <w:t>[2] GREGOR S, HEVNER A R. Positioning and presenting design science research for maximum impact[J]. MIS Quarterly, 2013, 37(2): 337-355.</w:t>
      </w:r>
    </w:p>
    <w:p w14:paraId="1993C2BC" w14:textId="77777777" w:rsidR="00C41D95" w:rsidRDefault="00E312B2">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54A25BCB" w14:textId="77777777" w:rsidR="00C41D95" w:rsidRDefault="00E312B2">
      <w:pPr>
        <w:spacing w:after="40" w:line="288" w:lineRule="auto"/>
      </w:pPr>
      <w:r>
        <w:rPr>
          <w:rFonts w:ascii="Times New Roman" w:hAnsi="Times New Roman"/>
          <w:sz w:val="15"/>
        </w:rPr>
        <w:t>[4] RUSSELL S, NORVIG P. Artificial Intelligence: A Modern Approach[M]. 4th ed. London: Pearson, 2021.</w:t>
      </w:r>
    </w:p>
    <w:p w14:paraId="73A86F1B" w14:textId="77777777" w:rsidR="00C41D95" w:rsidRDefault="00E312B2">
      <w:pPr>
        <w:spacing w:after="40" w:line="288" w:lineRule="auto"/>
      </w:pPr>
      <w:r>
        <w:rPr>
          <w:rFonts w:ascii="Times New Roman" w:hAnsi="Times New Roman"/>
          <w:sz w:val="15"/>
        </w:rPr>
        <w:t>[5] LUCKIN R, HOLMES W, GRIFFITHS M, et al. Intelligence Unleashed: An Argument for AI in Education[M]. London: Pearson, 2016.</w:t>
      </w:r>
    </w:p>
    <w:p w14:paraId="1FBB6263" w14:textId="77777777" w:rsidR="00C41D95" w:rsidRDefault="00E312B2">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72BA21F0" w14:textId="77777777" w:rsidR="00C41D95" w:rsidRDefault="00E312B2">
      <w:pPr>
        <w:spacing w:after="40" w:line="288" w:lineRule="auto"/>
      </w:pPr>
      <w:r>
        <w:rPr>
          <w:rFonts w:ascii="Times New Roman" w:hAnsi="Times New Roman"/>
          <w:sz w:val="15"/>
        </w:rPr>
        <w:t>[7] CHAN T W, BASKIN A B. Studying with the prince: The computer as a learning companion[C]//Proceedings of the International Conference on Intelligent Tutoring Systems. Montreal, 1988: 194-200.</w:t>
      </w:r>
    </w:p>
    <w:p w14:paraId="69B4FA4F" w14:textId="77777777" w:rsidR="00C41D95" w:rsidRDefault="00E312B2">
      <w:pPr>
        <w:spacing w:after="40" w:line="288" w:lineRule="auto"/>
      </w:pPr>
      <w:r>
        <w:rPr>
          <w:rFonts w:ascii="Times New Roman" w:hAnsi="Times New Roman"/>
          <w:sz w:val="15"/>
        </w:rPr>
        <w:t>[8] CHOU C Y, CHAN T W, LIN C J. Redefining the learning companion: The past, present, and future of educational agents[J]. Computers &amp; Education, 2003, 40(3): 255-269.</w:t>
      </w:r>
    </w:p>
    <w:p w14:paraId="5EF387EE" w14:textId="77777777" w:rsidR="00C41D95" w:rsidRDefault="00E312B2">
      <w:pPr>
        <w:spacing w:after="40" w:line="288" w:lineRule="auto"/>
      </w:pPr>
      <w:r>
        <w:rPr>
          <w:rFonts w:ascii="宋体" w:eastAsia="宋体" w:hAnsi="宋体"/>
          <w:sz w:val="15"/>
        </w:rPr>
        <w:t xml:space="preserve">[9]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3FB2B07E" w14:textId="77777777" w:rsidR="00C41D95" w:rsidRDefault="00E312B2">
      <w:pPr>
        <w:spacing w:after="40" w:line="288" w:lineRule="auto"/>
      </w:pPr>
      <w:r>
        <w:rPr>
          <w:rFonts w:ascii="Times New Roman" w:hAnsi="Times New Roman"/>
          <w:sz w:val="15"/>
        </w:rPr>
        <w:t>[10] PARK S, LEVINE M, HWANG T, et al. Generative Agents: Interactive simulacra of human behavior[C]//Proceedings of the 36th Annual ACM Symposium on User Interface Software and Technology. San Francisco, 2023: 1-22.</w:t>
      </w:r>
    </w:p>
    <w:p w14:paraId="4529B55A" w14:textId="77777777" w:rsidR="00C41D95" w:rsidRDefault="00E312B2">
      <w:pPr>
        <w:spacing w:after="40" w:line="288" w:lineRule="auto"/>
      </w:pPr>
      <w:r>
        <w:rPr>
          <w:rFonts w:ascii="Times New Roman" w:hAnsi="Times New Roman"/>
          <w:sz w:val="15"/>
        </w:rPr>
        <w:t>[11] ZHAI X. ChatGPT User Experience: Implications for Education[J/OL]. SSRN, 2022.</w:t>
      </w:r>
    </w:p>
    <w:p w14:paraId="6C1F26E4" w14:textId="77777777" w:rsidR="00C41D95" w:rsidRDefault="00E312B2">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0223F9EF" w14:textId="77777777" w:rsidR="00C41D95" w:rsidRDefault="00E312B2">
      <w:pPr>
        <w:spacing w:after="40" w:line="288" w:lineRule="auto"/>
      </w:pPr>
      <w:r>
        <w:rPr>
          <w:rFonts w:ascii="宋体" w:eastAsia="宋体" w:hAnsi="宋体"/>
          <w:sz w:val="15"/>
        </w:rPr>
        <w:t xml:space="preserve">[13]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3937F81A" w14:textId="77777777" w:rsidR="00C41D95" w:rsidRDefault="00E312B2">
      <w:pPr>
        <w:spacing w:after="40" w:line="288" w:lineRule="auto"/>
      </w:pPr>
      <w:r>
        <w:rPr>
          <w:rFonts w:ascii="宋体" w:eastAsia="宋体" w:hAnsi="宋体"/>
          <w:sz w:val="15"/>
        </w:rPr>
        <w:t xml:space="preserve">[14]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3335D2B8" w14:textId="77777777" w:rsidR="00C41D95" w:rsidRDefault="00E312B2">
      <w:pPr>
        <w:spacing w:after="40" w:line="288" w:lineRule="auto"/>
      </w:pPr>
      <w:r>
        <w:rPr>
          <w:rFonts w:ascii="宋体" w:eastAsia="宋体" w:hAnsi="宋体"/>
          <w:sz w:val="15"/>
        </w:rPr>
        <w:t xml:space="preserve">[15]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32E19C16" w14:textId="77777777" w:rsidR="00C41D95" w:rsidRDefault="00E312B2">
      <w:pPr>
        <w:spacing w:after="40" w:line="288" w:lineRule="auto"/>
      </w:pPr>
      <w:r>
        <w:rPr>
          <w:rFonts w:ascii="宋体" w:eastAsia="宋体" w:hAnsi="宋体"/>
          <w:sz w:val="15"/>
        </w:rPr>
        <w:t xml:space="preserve">[16]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142DB729" w14:textId="77777777" w:rsidR="00C41D95" w:rsidRDefault="00E312B2">
      <w:pPr>
        <w:spacing w:after="40" w:line="288" w:lineRule="auto"/>
      </w:pPr>
      <w:r>
        <w:rPr>
          <w:rFonts w:ascii="宋体" w:eastAsia="宋体" w:hAnsi="宋体"/>
          <w:sz w:val="15"/>
        </w:rPr>
        <w:t xml:space="preserve">[17]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38D85817" w14:textId="77777777" w:rsidR="00C41D95" w:rsidRDefault="00E312B2">
      <w:pPr>
        <w:spacing w:after="40" w:line="288" w:lineRule="auto"/>
      </w:pPr>
      <w:r>
        <w:rPr>
          <w:rFonts w:ascii="宋体" w:eastAsia="宋体" w:hAnsi="宋体"/>
          <w:sz w:val="15"/>
        </w:rPr>
        <w:t xml:space="preserve">[18]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5EB84D09" w14:textId="77777777" w:rsidR="00C41D95" w:rsidRDefault="00E312B2">
      <w:pPr>
        <w:spacing w:after="40" w:line="288" w:lineRule="auto"/>
      </w:pPr>
      <w:r>
        <w:rPr>
          <w:rFonts w:ascii="宋体" w:eastAsia="宋体" w:hAnsi="宋体"/>
          <w:sz w:val="15"/>
        </w:rPr>
        <w:t xml:space="preserve">[19]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5F703493" w14:textId="77777777" w:rsidR="00C41D95" w:rsidRDefault="00E312B2">
      <w:pPr>
        <w:spacing w:after="40" w:line="288" w:lineRule="auto"/>
      </w:pPr>
      <w:r>
        <w:rPr>
          <w:rFonts w:ascii="Times New Roman" w:hAnsi="Times New Roman"/>
          <w:sz w:val="15"/>
        </w:rPr>
        <w:t>[20] MOLLICK E, MOLLICK L. Assigning AI: Seven Approaches for Students with Prompts[J/OL]. SSRN, 2023.</w:t>
      </w:r>
    </w:p>
    <w:p w14:paraId="6E9DD13A" w14:textId="77777777" w:rsidR="00C41D95" w:rsidRDefault="00E312B2">
      <w:pPr>
        <w:spacing w:after="40" w:line="288" w:lineRule="auto"/>
      </w:pPr>
      <w:r>
        <w:rPr>
          <w:rFonts w:ascii="宋体" w:eastAsia="宋体" w:hAnsi="宋体"/>
          <w:sz w:val="15"/>
        </w:rPr>
        <w:t xml:space="preserve">[21]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37709881" w14:textId="77777777" w:rsidR="00C41D95" w:rsidRDefault="00E312B2">
      <w:pPr>
        <w:spacing w:after="40" w:line="288" w:lineRule="auto"/>
      </w:pPr>
      <w:r>
        <w:rPr>
          <w:rFonts w:ascii="宋体" w:eastAsia="宋体" w:hAnsi="宋体"/>
          <w:sz w:val="15"/>
        </w:rPr>
        <w:t xml:space="preserve">[22]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75975F35" w14:textId="77777777" w:rsidR="00C41D95" w:rsidRDefault="00E312B2">
      <w:pPr>
        <w:spacing w:after="40" w:line="288" w:lineRule="auto"/>
      </w:pPr>
      <w:r>
        <w:rPr>
          <w:rFonts w:ascii="宋体" w:eastAsia="宋体" w:hAnsi="宋体"/>
          <w:sz w:val="15"/>
        </w:rPr>
        <w:t xml:space="preserve">[23]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4B2C65FF" w14:textId="77777777" w:rsidR="00C41D95" w:rsidRDefault="00E312B2">
      <w:pPr>
        <w:spacing w:after="40" w:line="288" w:lineRule="auto"/>
      </w:pPr>
      <w:r>
        <w:rPr>
          <w:rFonts w:ascii="Times New Roman" w:hAnsi="Times New Roman"/>
          <w:sz w:val="15"/>
        </w:rPr>
        <w:t>[24] VYGOTSKY L S. Mind in society: The development of higher psychological processes[M]. Cambridge: Harvard University Press, 1978.</w:t>
      </w:r>
    </w:p>
    <w:p w14:paraId="0151B74A" w14:textId="77777777" w:rsidR="00C41D95" w:rsidRDefault="00E312B2">
      <w:pPr>
        <w:spacing w:after="40" w:line="288" w:lineRule="auto"/>
      </w:pPr>
      <w:r>
        <w:rPr>
          <w:rFonts w:ascii="宋体" w:eastAsia="宋体" w:hAnsi="宋体"/>
          <w:sz w:val="15"/>
        </w:rPr>
        <w:t xml:space="preserve">[25]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sectPr w:rsidR="00C41D95" w:rsidSect="00A91B6D">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EE730" w14:textId="77777777" w:rsidR="00E312B2" w:rsidRDefault="00E312B2" w:rsidP="00A91B6D">
      <w:pPr>
        <w:spacing w:after="0" w:line="240" w:lineRule="auto"/>
      </w:pPr>
      <w:r>
        <w:separator/>
      </w:r>
    </w:p>
  </w:endnote>
  <w:endnote w:type="continuationSeparator" w:id="0">
    <w:p w14:paraId="6C39B6B3" w14:textId="77777777" w:rsidR="00E312B2" w:rsidRDefault="00E312B2" w:rsidP="00A91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0C04" w14:textId="77777777" w:rsidR="00E312B2" w:rsidRDefault="00E312B2" w:rsidP="00A91B6D">
      <w:pPr>
        <w:spacing w:after="0" w:line="240" w:lineRule="auto"/>
      </w:pPr>
      <w:r>
        <w:separator/>
      </w:r>
    </w:p>
  </w:footnote>
  <w:footnote w:type="continuationSeparator" w:id="0">
    <w:p w14:paraId="48165AF0" w14:textId="77777777" w:rsidR="00E312B2" w:rsidRDefault="00E312B2" w:rsidP="00A91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5426143">
    <w:abstractNumId w:val="8"/>
  </w:num>
  <w:num w:numId="2" w16cid:durableId="1680934121">
    <w:abstractNumId w:val="6"/>
  </w:num>
  <w:num w:numId="3" w16cid:durableId="886524282">
    <w:abstractNumId w:val="5"/>
  </w:num>
  <w:num w:numId="4" w16cid:durableId="2126577722">
    <w:abstractNumId w:val="4"/>
  </w:num>
  <w:num w:numId="5" w16cid:durableId="426582226">
    <w:abstractNumId w:val="7"/>
  </w:num>
  <w:num w:numId="6" w16cid:durableId="1090546426">
    <w:abstractNumId w:val="3"/>
  </w:num>
  <w:num w:numId="7" w16cid:durableId="546457715">
    <w:abstractNumId w:val="2"/>
  </w:num>
  <w:num w:numId="8" w16cid:durableId="1774936715">
    <w:abstractNumId w:val="1"/>
  </w:num>
  <w:num w:numId="9" w16cid:durableId="166392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694"/>
    <w:rsid w:val="00A91B6D"/>
    <w:rsid w:val="00AA1D8D"/>
    <w:rsid w:val="00B47730"/>
    <w:rsid w:val="00C41D95"/>
    <w:rsid w:val="00CB0664"/>
    <w:rsid w:val="00E31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B6FDA0"/>
  <w14:defaultImageDpi w14:val="300"/>
  <w15:docId w15:val="{15B2F5C9-E847-4DEF-B105-694819AB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6541</Words>
  <Characters>9683</Characters>
  <Application>Microsoft Office Word</Application>
  <DocSecurity>0</DocSecurity>
  <Lines>268</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2026-05-30T11:05:00Z</dcterms:modified>
  <cp:category/>
</cp:coreProperties>
</file>