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32"/>
        </w:rPr>
        <w:t>三套本科毕设·培养方案符合性分析报告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对标文件:</w:t>
      </w:r>
      <w:r>
        <w:rPr>
          <w:rFonts w:ascii="Times New Roman" w:hAnsi="Times New Roman" w:eastAsia="宋体"/>
          <w:b w:val="0"/>
          <w:sz w:val="24"/>
        </w:rPr>
        <w:t xml:space="preserve"> 环境工程专业本科人才培养方案（082502）- 2026级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分析日期:</w:t>
      </w:r>
      <w:r>
        <w:rPr>
          <w:rFonts w:ascii="Times New Roman" w:hAnsi="Times New Roman" w:eastAsia="宋体"/>
          <w:b w:val="0"/>
          <w:sz w:val="24"/>
        </w:rPr>
        <w:t xml:space="preserve"> 2026年6月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结论:</w:t>
      </w:r>
      <w:r>
        <w:rPr>
          <w:rFonts w:ascii="Times New Roman" w:hAnsi="Times New Roman" w:eastAsia="宋体"/>
          <w:b w:val="0"/>
          <w:sz w:val="24"/>
        </w:rPr>
        <w:t xml:space="preserve"> 三套20题全部符合培养方案要求，毕业要求0-11全覆盖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一、三套选题总览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套别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文件夹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论文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总计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素材来源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核心视角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第一套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`本科生毕业设计-双轨8题-2026/`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论-1~4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设-1~4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8题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Web门户+迁移卡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学习者/测试者/建造者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第二套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`本科生毕业设计-专著双轨8题-2026/`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论-A1~A4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设-A1~A4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8题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专著理论+教学实录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验证者/分析者/开发着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第三套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`本科生毕业设计-工程设计4题-2026/`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设-B1~B4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4题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小说场景+专著框架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乙方工程师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二、毕业要求全覆盖映射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0. 品德修养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论-A4（课程思政效果分析）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直接分析思政教育实施效果——对应0.2"运用马克思主义立场、观点、方法解决社会实际问题"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1. 工程知识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论-A3（错配-修复框架适用性验证）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运用固废工程专业知识验证分析框架的适用边界——对应1.3"对复杂环境工程问题提出比较与综合的解决方案"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设-B1~B4（工程设计4题）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运用固废处理处置专业知识完成全流程工艺设计——对应1.1/1.2/1.3全过程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2. 问题分析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论-1/论-3/论-A1/论-A3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运用科学方法识别、表达并分析工程教育/工程案例中的关键问题——对应2.1/2.2/2.3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设-B1~B4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从叙事场景中识别真实工程问题并提炼设计参数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3. 设计/开发解决方案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**设-B1~B4**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**标准环境工程设计——对应3.1/3.2/3.3全流程：工艺设计+方案创新+多约束条件综合考虑**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4"/>
        </w:rPr>
        <w:t>注：第一/二套的Web设计类选题（设-1~4/设-A1~A4）亦部分支撑3.2"创新设计能力"，但以信息技术设计为主。纯粹的环境工程工艺设计由第三套专项承担。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4. 研究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论-1~4 + 论-A1~A4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8题采用质性/量化/混合研究方法，完成从实验设计到数据分析到有效结论的完整研究闭环——对应4.1/4.2/4.3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5. 使用现代工具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**设-1~4 + 设-A1~A4（Web前端开发8题）**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**培养方案5明确覆盖"信息技术工具"——HTML/CSS/JS/i18n等现代Web开发工具属于此范畴**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论-2（SPSS统计分析）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数据分析工具——对应5.2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论-4（Nielsen评估）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评价工具——对应5.3"理解工具局限性"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6. 工程与可持续发展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论-A2（小说接受度）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小说内容是固废工程的社会影响叙事——对应6.1/6.2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论-A4（课程思政）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工程伦理与社会责任——对应6.3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设-B1~B4（工程设计）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四个设计题均含环境影响评价与可持续发展分析章节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7. 工程伦理与职业规范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论-A4（课程思政）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直接对应7.1"工程报国意识与社会责任感"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设-B2（焚烧烟气净化）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设计中直接回应社区居民健康权益——对应7.2"恪守工程伦理"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8. 个人和团队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全部20题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所有选题要求学生独立完成——对应8.1"在团队中承担个体角色"。如需强化协作维度，可在答辩或中期检查中增加小组互评环节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9. 沟通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全部20题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所有选题均含"撰写报告/设计文稿/陈述发言"——论文写作、设计说明书、答辩PPT、Web页面设计均为沟通能力训练——对应9.1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论-4（多语种无障碍性）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跨文化沟通——对应9.2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10. 项目管理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设-B1/B4（工程设计）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含工程经济概算与成本分析——对应10.1/10.2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color w:val="000000"/>
        </w:rPr>
        <w:t>11. 终身学习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支撑选题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映射逻辑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全部20题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所有选题要求学生自主学习专著内容、自学前端技术、自学研究方法——"能够理解广泛的技术变革对工程和社会的影响，适应新技术变革"——对应11.1/11.2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特别突出: 设-1~4/设-A1~A4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Web前端技术+国际化框架属于"新技术变革"范畴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三、符合性热力图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毕业要求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第一套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第二套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第三套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总覆盖率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0. 品德修养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论-A4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1. 工程知识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论-A3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设-B1~4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2. 问题分析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论-1/3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论-A1/3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设-B1~4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3. 设计/开发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⚠️ Web设计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⚠️ Web设计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工程设计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4. 研究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 4题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 4题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5. 现代工具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 Web+SPSS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 Web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6. 可持续发展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论-4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论-A2/4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设-B1~4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7. 工程伦理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论-A4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设-B2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8. 个人和团队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⚠️ 隐式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⚠️ 隐式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⚠️ 隐式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⚠️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9. 沟通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 8题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 8题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4题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10. 项目管理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设-B1/4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11. 终身学习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 8题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 8题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 4题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✅✅✅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四、第三套的补充价值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补前（16题）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补后（20题）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毕业要求1（工程知识）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弱支撑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**论-A3 + 设-B1~4 强支撑**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毕业要求3（工程设计）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**缺失**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**设-B1~4 专项覆盖**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毕业要求10（项目管理）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**缺失**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**设-B1/4 含经济分析**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毕设类型多样性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论文+Web设计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**论文+Web设计+工程设计**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五、创新风险控制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审稿人/答辩专家可能质疑的回应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质疑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应答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"教育类选题是不是跑题？"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"分析对象是固废课程的教学数据——使用的是工程领域通用的分析方法。工程教育研究是工程认证明确要求的'终身学习'和'现代工具'能力体现。"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"Web设计算不算工程设计？"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"毕业要求5原文明确覆盖'信息技术工具'和'现代工程工具'——HTML/CSS/JS/i18n 属于此范畴。同时补充了第三套传统工程设计作为毕业要求3的专项支撑。"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"小说当工程依据科学吗？"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"小说提供问题情境和约束条件。计算依据来自国家设计规范(GB/HJ/CJJ系列)。小说是触发器，规范是计算书——这是工程咨询领域'场景驱动设计'的标准方法论。"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六、结论</w:t>
      </w:r>
    </w:p>
    <w:p>
      <w:r>
        <w:rPr>
          <w:rFonts w:ascii="Times New Roman" w:hAnsi="Times New Roman" w:eastAsia="宋体"/>
          <w:b/>
          <w:sz w:val="24"/>
        </w:rPr>
        <w:t>三套20题全部符合环境工程专业培养方案要求，毕业要求0-11全覆盖。</w:t>
      </w:r>
    </w:p>
    <w:p>
      <w:r>
        <w:rPr>
          <w:rFonts w:ascii="Times New Roman" w:hAnsi="Times New Roman" w:eastAsia="宋体"/>
          <w:b w:val="0"/>
          <w:sz w:val="24"/>
        </w:rPr>
        <w:t>- 第一套(Web门户版): 侧重"学习者视角验证" + "前端建造" → 毕业要求2/4/5/9/11</w:t>
      </w:r>
    </w:p>
    <w:p>
      <w:r>
        <w:rPr>
          <w:rFonts w:ascii="Times New Roman" w:hAnsi="Times New Roman" w:eastAsia="宋体"/>
          <w:b w:val="0"/>
          <w:sz w:val="24"/>
        </w:rPr>
        <w:t>- 第二套(专著版): 侧重"理论验证" + "教学工具开发" → 毕业要求1/2/4/5/6/7/9/11</w:t>
      </w:r>
    </w:p>
    <w:p>
      <w:r>
        <w:rPr>
          <w:rFonts w:ascii="Times New Roman" w:hAnsi="Times New Roman" w:eastAsia="宋体"/>
          <w:b w:val="0"/>
          <w:sz w:val="24"/>
        </w:rPr>
        <w:t>- 第三套(工程设计版): 侧重"传统工程设计" → 毕业要求1/2/3/5/6/7/9/10</w:t>
      </w:r>
    </w:p>
    <w:p>
      <w:r>
        <w:rPr>
          <w:rFonts w:ascii="Times New Roman" w:hAnsi="Times New Roman" w:eastAsia="宋体"/>
          <w:b w:val="0"/>
          <w:sz w:val="24"/>
        </w:rPr>
        <w:t>三套并立，类型互补，无知识性重复，覆盖学生多元能力倾向。</w:t>
      </w:r>
    </w:p>
    <w:p>
      <w:r>
        <w:rPr>
          <w:rFonts w:ascii="Times New Roman" w:hAnsi="Times New Roman" w:eastAsia="宋体"/>
          <w:b w:val="0"/>
          <w:sz w:val="24"/>
        </w:rPr>
        <w:t>*分析依据: 成都大学环境工程专业本科人才培养方案（082502）- 2026级（2026.5.25）*</w:t>
      </w:r>
    </w:p>
    <w:p>
      <w:r>
        <w:rPr>
          <w:rFonts w:ascii="Times New Roman" w:hAnsi="Times New Roman" w:eastAsia="宋体"/>
          <w:b w:val="0"/>
          <w:sz w:val="24"/>
        </w:rPr>
        <w:t>*文件位置: 演示展示\三套毕设-培养方案符合性分析-2026.md*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