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sz w:val="32"/>
        </w:rPr>
        <w:t>毕业论文开题报告</w:t>
      </w:r>
    </w:p>
    <w:p>
      <w:r>
        <w:rPr>
          <w:rFonts w:ascii="Times New Roman" w:hAnsi="Times New Roman" w:eastAsia="宋体"/>
          <w:b w:val="0"/>
          <w:sz w:val="24"/>
        </w:rPr>
      </w:r>
      <w:r>
        <w:rPr>
          <w:rFonts w:ascii="Times New Roman" w:hAnsi="Times New Roman" w:eastAsia="宋体"/>
          <w:b/>
          <w:sz w:val="24"/>
        </w:rPr>
        <w:t>题目:</w:t>
      </w:r>
      <w:r>
        <w:rPr>
          <w:rFonts w:ascii="Times New Roman" w:hAnsi="Times New Roman" w:eastAsia="宋体"/>
          <w:b w:val="0"/>
          <w:sz w:val="24"/>
        </w:rPr>
        <w:t xml:space="preserve"> "错配-修复"分析框架在固废工程案例中的适用性验证</w:t>
      </w:r>
    </w:p>
    <w:p>
      <w:r>
        <w:rPr>
          <w:rFonts w:ascii="Times New Roman" w:hAnsi="Times New Roman" w:eastAsia="宋体"/>
          <w:b w:val="0"/>
          <w:sz w:val="24"/>
        </w:rPr>
      </w:r>
      <w:r>
        <w:rPr>
          <w:rFonts w:ascii="Times New Roman" w:hAnsi="Times New Roman" w:eastAsia="宋体"/>
          <w:b/>
          <w:sz w:val="24"/>
        </w:rPr>
        <w:t>学生:</w:t>
      </w:r>
      <w:r>
        <w:rPr>
          <w:rFonts w:ascii="Times New Roman" w:hAnsi="Times New Roman" w:eastAsia="宋体"/>
          <w:b w:val="0"/>
          <w:sz w:val="24"/>
        </w:rPr>
        <w:t xml:space="preserve"> [学生姓名] | </w:t>
      </w:r>
      <w:r>
        <w:rPr>
          <w:rFonts w:ascii="Times New Roman" w:hAnsi="Times New Roman" w:eastAsia="宋体"/>
          <w:b/>
          <w:sz w:val="24"/>
        </w:rPr>
        <w:t>学号:</w:t>
      </w:r>
      <w:r>
        <w:rPr>
          <w:rFonts w:ascii="Times New Roman" w:hAnsi="Times New Roman" w:eastAsia="宋体"/>
          <w:b w:val="0"/>
          <w:sz w:val="24"/>
        </w:rPr>
        <w:t xml:space="preserve"> [学号] | </w:t>
      </w:r>
      <w:r>
        <w:rPr>
          <w:rFonts w:ascii="Times New Roman" w:hAnsi="Times New Roman" w:eastAsia="宋体"/>
          <w:b/>
          <w:sz w:val="24"/>
        </w:rPr>
        <w:t>班级:</w:t>
      </w:r>
      <w:r>
        <w:rPr>
          <w:rFonts w:ascii="Times New Roman" w:hAnsi="Times New Roman" w:eastAsia="宋体"/>
          <w:b w:val="0"/>
          <w:sz w:val="24"/>
        </w:rPr>
        <w:t xml:space="preserve"> 环境工程[年级]班</w:t>
      </w:r>
    </w:p>
    <w:p>
      <w:r>
        <w:rPr>
          <w:rFonts w:ascii="Times New Roman" w:hAnsi="Times New Roman" w:eastAsia="宋体"/>
          <w:b w:val="0"/>
          <w:sz w:val="24"/>
        </w:rPr>
      </w:r>
      <w:r>
        <w:rPr>
          <w:rFonts w:ascii="Times New Roman" w:hAnsi="Times New Roman" w:eastAsia="宋体"/>
          <w:b/>
          <w:sz w:val="24"/>
        </w:rPr>
        <w:t>指导教师:</w:t>
      </w:r>
      <w:r>
        <w:rPr>
          <w:rFonts w:ascii="Times New Roman" w:hAnsi="Times New Roman" w:eastAsia="宋体"/>
          <w:b w:val="0"/>
          <w:sz w:val="24"/>
        </w:rPr>
        <w:t xml:space="preserve"> 黄正文 教授（成都大学环境工程系）</w:t>
      </w:r>
    </w:p>
    <w:p>
      <w:r>
        <w:rPr>
          <w:rFonts w:ascii="Times New Roman" w:hAnsi="Times New Roman" w:eastAsia="宋体"/>
          <w:b w:val="0"/>
          <w:sz w:val="24"/>
        </w:rPr>
      </w:r>
      <w:r>
        <w:rPr>
          <w:rFonts w:ascii="Times New Roman" w:hAnsi="Times New Roman" w:eastAsia="宋体"/>
          <w:b/>
          <w:sz w:val="24"/>
        </w:rPr>
        <w:t>素材来源:</w:t>
      </w:r>
      <w:r>
        <w:rPr>
          <w:rFonts w:ascii="Times New Roman" w:hAnsi="Times New Roman" w:eastAsia="宋体"/>
          <w:b w:val="0"/>
          <w:sz w:val="24"/>
        </w:rPr>
        <w:t xml:space="preserve"> 专著章节 Ch3 + 新案例</w:t>
      </w:r>
    </w:p>
    <w:p>
      <w:pPr>
        <w:pStyle w:val="Heading1"/>
      </w:pPr>
      <w:r>
        <w:rPr>
          <w:rFonts w:ascii="Times New Roman" w:hAnsi="Times New Roman" w:eastAsia="宋体"/>
          <w:color w:val="000000"/>
        </w:rPr>
        <w:t>一、选题背景与工程教育定位</w:t>
      </w:r>
    </w:p>
    <w:p>
      <w:pPr>
        <w:pStyle w:val="Heading2"/>
      </w:pPr>
      <w:r>
        <w:rPr>
          <w:rFonts w:ascii="Times New Roman" w:hAnsi="Times New Roman" w:eastAsia="宋体"/>
          <w:color w:val="000000"/>
        </w:rPr>
        <w:t>1.1 选题背景</w:t>
      </w:r>
    </w:p>
    <w:p>
      <w:pPr>
        <w:ind w:firstLine="357"/>
      </w:pPr>
      <w:r>
        <w:rPr>
          <w:rFonts w:ascii="Times New Roman" w:hAnsi="Times New Roman" w:eastAsia="宋体"/>
          <w:b w:val="0"/>
          <w:sz w:val="24"/>
        </w:rPr>
        <w:t>成都大学环境工程系固废课程依托网络普惠教育作家点暇斋的纪实文言文文质长篇连载小说，首创"叙·框·境·创"（NFSC）四维教学法，经三个教学周期（2023-2025）迭代验证。《工程研究生教育中的NFSC四维教学法》专著全面记录了该教学法的理论基础、框架设计、平台部署与教学实效。</w:t>
      </w:r>
    </w:p>
    <w:p>
      <w:pPr>
        <w:ind w:firstLine="357"/>
      </w:pPr>
      <w:r>
        <w:rPr>
          <w:rFonts w:ascii="Times New Roman" w:hAnsi="Times New Roman" w:eastAsia="宋体"/>
          <w:b w:val="0"/>
          <w:sz w:val="24"/>
        </w:rPr>
        <w:t>本论文依托</w:t>
      </w:r>
      <w:r>
        <w:rPr>
          <w:rFonts w:ascii="Times New Roman" w:hAnsi="Times New Roman" w:eastAsia="宋体"/>
          <w:b/>
          <w:sz w:val="24"/>
        </w:rPr>
        <w:t>专著第3章</w:t>
      </w:r>
      <w:r>
        <w:rPr>
          <w:rFonts w:ascii="Times New Roman" w:hAnsi="Times New Roman" w:eastAsia="宋体"/>
          <w:b w:val="0"/>
          <w:sz w:val="24"/>
        </w:rPr>
        <w:t>，以环境工程专业本科生视角，对专著中的特定方法论/工具/数据进行独立的验证或设计。</w:t>
      </w:r>
    </w:p>
    <w:p>
      <w:pPr>
        <w:pStyle w:val="Heading2"/>
      </w:pPr>
      <w:r>
        <w:rPr>
          <w:rFonts w:ascii="Times New Roman" w:hAnsi="Times New Roman" w:eastAsia="宋体"/>
          <w:color w:val="000000"/>
        </w:rPr>
        <w:t>1.2 环境工程专业认证定位</w:t>
      </w:r>
    </w:p>
    <w:p>
      <w:pPr>
        <w:ind w:firstLine="357"/>
      </w:pPr>
      <w:r>
        <w:rPr>
          <w:rFonts w:ascii="Times New Roman" w:hAnsi="Times New Roman" w:eastAsia="宋体"/>
          <w:b w:val="0"/>
          <w:sz w:val="24"/>
        </w:rPr>
        <w:t>本选题非"教育学"研究。分析/建造的对象是</w:t>
      </w:r>
      <w:r>
        <w:rPr>
          <w:rFonts w:ascii="Times New Roman" w:hAnsi="Times New Roman" w:eastAsia="宋体"/>
          <w:b/>
          <w:sz w:val="24"/>
        </w:rPr>
        <w:t>固废工程课程的教学数据与知识体系</w:t>
      </w:r>
      <w:r>
        <w:rPr>
          <w:rFonts w:ascii="Times New Roman" w:hAnsi="Times New Roman" w:eastAsia="宋体"/>
          <w:b w:val="0"/>
          <w:sz w:val="24"/>
        </w:rPr>
        <w:t>，使用的方法是</w:t>
      </w:r>
      <w:r>
        <w:rPr>
          <w:rFonts w:ascii="Times New Roman" w:hAnsi="Times New Roman" w:eastAsia="宋体"/>
          <w:b/>
          <w:sz w:val="24"/>
        </w:rPr>
        <w:t>工程领域通用的数据分析与系统设计方法</w:t>
      </w:r>
      <w:r>
        <w:rPr>
          <w:rFonts w:ascii="Times New Roman" w:hAnsi="Times New Roman" w:eastAsia="宋体"/>
          <w:b w:val="0"/>
          <w:sz w:val="24"/>
        </w:rPr>
        <w:t>。选题精准支撑工程教育认证的以下毕业要求：</w:t>
      </w:r>
    </w:p>
    <w:p>
      <w:pPr>
        <w:pStyle w:val="Heading1"/>
      </w:pPr>
      <w:r>
        <w:rPr>
          <w:rFonts w:ascii="Times New Roman" w:hAnsi="Times New Roman" w:eastAsia="宋体"/>
          <w:color w:val="000000"/>
        </w:rPr>
        <w:t>毕业要求支撑矩阵</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宋体"/>
                <w:b/>
                <w:sz w:val="20"/>
              </w:rPr>
              <w:t>毕业要求条目</w:t>
            </w:r>
          </w:p>
        </w:tc>
        <w:tc>
          <w:tcPr>
            <w:tcW w:type="dxa" w:w="3120"/>
          </w:tcPr>
          <w:p>
            <w:r/>
            <w:r>
              <w:rPr>
                <w:rFonts w:ascii="Times New Roman" w:hAnsi="Times New Roman" w:eastAsia="宋体"/>
                <w:b/>
                <w:sz w:val="20"/>
              </w:rPr>
              <w:t>本选题如何支撑</w:t>
            </w:r>
          </w:p>
        </w:tc>
        <w:tc>
          <w:tcPr>
            <w:tcW w:type="dxa" w:w="3120"/>
          </w:tcPr>
          <w:p>
            <w:r/>
            <w:r>
              <w:rPr>
                <w:rFonts w:ascii="Times New Roman" w:hAnsi="Times New Roman" w:eastAsia="宋体"/>
                <w:b/>
                <w:sz w:val="20"/>
              </w:rPr>
              <w:t>对应工作内容</w:t>
            </w:r>
          </w:p>
        </w:tc>
      </w:tr>
      <w:tr>
        <w:tc>
          <w:tcPr>
            <w:tcW w:type="dxa" w:w="3120"/>
          </w:tcPr>
          <w:p>
            <w:r/>
            <w:r>
              <w:rPr>
                <w:rFonts w:ascii="Times New Roman" w:hAnsi="Times New Roman" w:eastAsia="宋体"/>
                <w:b w:val="0"/>
                <w:sz w:val="20"/>
              </w:rPr>
              <w:t>1. 工程知识</w:t>
            </w:r>
          </w:p>
        </w:tc>
        <w:tc>
          <w:tcPr>
            <w:tcW w:type="dxa" w:w="3120"/>
          </w:tcPr>
          <w:p>
            <w:r/>
            <w:r>
              <w:rPr>
                <w:rFonts w:ascii="Times New Roman" w:hAnsi="Times New Roman" w:eastAsia="宋体"/>
                <w:b w:val="0"/>
                <w:sz w:val="20"/>
              </w:rPr>
              <w:t>运用固废工程专业知识理解案例的技术内容</w:t>
            </w:r>
          </w:p>
        </w:tc>
        <w:tc>
          <w:tcPr>
            <w:tcW w:type="dxa" w:w="3120"/>
          </w:tcPr>
          <w:p>
            <w:r/>
            <w:r>
              <w:rPr>
                <w:rFonts w:ascii="Times New Roman" w:hAnsi="Times New Roman" w:eastAsia="宋体"/>
                <w:b w:val="0"/>
                <w:sz w:val="20"/>
              </w:rPr>
              <w:t>新案例的技术分析</w:t>
            </w:r>
          </w:p>
        </w:tc>
      </w:tr>
      <w:tr>
        <w:tc>
          <w:tcPr>
            <w:tcW w:type="dxa" w:w="3120"/>
          </w:tcPr>
          <w:p>
            <w:r/>
            <w:r>
              <w:rPr>
                <w:rFonts w:ascii="Times New Roman" w:hAnsi="Times New Roman" w:eastAsia="宋体"/>
                <w:b w:val="0"/>
                <w:sz w:val="20"/>
              </w:rPr>
              <w:t>2. 问题分析</w:t>
            </w:r>
          </w:p>
        </w:tc>
        <w:tc>
          <w:tcPr>
            <w:tcW w:type="dxa" w:w="3120"/>
          </w:tcPr>
          <w:p>
            <w:r/>
            <w:r>
              <w:rPr>
                <w:rFonts w:ascii="Times New Roman" w:hAnsi="Times New Roman" w:eastAsia="宋体"/>
                <w:b w:val="0"/>
                <w:sz w:val="20"/>
              </w:rPr>
              <w:t>以分析框架为工具，识别案例中的错配类型与修复路径</w:t>
            </w:r>
          </w:p>
        </w:tc>
        <w:tc>
          <w:tcPr>
            <w:tcW w:type="dxa" w:w="3120"/>
          </w:tcPr>
          <w:p>
            <w:r/>
            <w:r>
              <w:rPr>
                <w:rFonts w:ascii="Times New Roman" w:hAnsi="Times New Roman" w:eastAsia="宋体"/>
                <w:b w:val="0"/>
                <w:sz w:val="20"/>
              </w:rPr>
              <w:t>框架适配验证</w:t>
            </w:r>
          </w:p>
        </w:tc>
      </w:tr>
      <w:tr>
        <w:tc>
          <w:tcPr>
            <w:tcW w:type="dxa" w:w="3120"/>
          </w:tcPr>
          <w:p>
            <w:r/>
            <w:r>
              <w:rPr>
                <w:rFonts w:ascii="Times New Roman" w:hAnsi="Times New Roman" w:eastAsia="宋体"/>
                <w:b w:val="0"/>
                <w:sz w:val="20"/>
              </w:rPr>
              <w:t>4. 研究</w:t>
            </w:r>
          </w:p>
        </w:tc>
        <w:tc>
          <w:tcPr>
            <w:tcW w:type="dxa" w:w="3120"/>
          </w:tcPr>
          <w:p>
            <w:r/>
            <w:r>
              <w:rPr>
                <w:rFonts w:ascii="Times New Roman" w:hAnsi="Times New Roman" w:eastAsia="宋体"/>
                <w:b w:val="0"/>
                <w:sz w:val="20"/>
              </w:rPr>
              <w:t>运用案例分析法对框架的工程适用性进行实证检验</w:t>
            </w:r>
          </w:p>
        </w:tc>
        <w:tc>
          <w:tcPr>
            <w:tcW w:type="dxa" w:w="3120"/>
          </w:tcPr>
          <w:p>
            <w:r/>
            <w:r>
              <w:rPr>
                <w:rFonts w:ascii="Times New Roman" w:hAnsi="Times New Roman" w:eastAsia="宋体"/>
                <w:b w:val="0"/>
                <w:sz w:val="20"/>
              </w:rPr>
              <w:t>案例分析</w:t>
            </w:r>
          </w:p>
        </w:tc>
      </w:tr>
    </w:tbl>
    <w:p/>
    <w:p>
      <w:r>
        <w:rPr>
          <w:rFonts w:ascii="Times New Roman" w:hAnsi="Times New Roman" w:eastAsia="宋体"/>
          <w:b w:val="0"/>
          <w:sz w:val="24"/>
        </w:rPr>
        <w:t>（注：以上条目依据《工程教育认证标准》12条毕业要求，标注本选题支撑的核心能力维度。）</w:t>
      </w:r>
    </w:p>
    <w:p>
      <w:pPr>
        <w:pStyle w:val="Heading1"/>
      </w:pPr>
      <w:r>
        <w:rPr>
          <w:rFonts w:ascii="Times New Roman" w:hAnsi="Times New Roman" w:eastAsia="宋体"/>
          <w:color w:val="000000"/>
        </w:rPr>
        <w:t>二、文献综述</w:t>
      </w:r>
    </w:p>
    <w:p>
      <w:pPr>
        <w:ind w:firstLine="357"/>
      </w:pPr>
      <w:r>
        <w:rPr>
          <w:rFonts w:ascii="Times New Roman" w:hAnsi="Times New Roman" w:eastAsia="宋体"/>
          <w:b w:val="0"/>
          <w:sz w:val="24"/>
        </w:rPr>
        <w:t>工程案例分析方法论 → "错配-修复"框架体系概述（空间/技术/行为/人文/时间五维 + EPR错配）→ 框架适用性验证研究设计</w:t>
      </w:r>
    </w:p>
    <w:p>
      <w:pPr>
        <w:pStyle w:val="Heading1"/>
      </w:pPr>
      <w:r>
        <w:rPr>
          <w:rFonts w:ascii="Times New Roman" w:hAnsi="Times New Roman" w:eastAsia="宋体"/>
          <w:color w:val="000000"/>
        </w:rPr>
        <w:t>三、研究/设计目标与内容</w:t>
      </w:r>
    </w:p>
    <w:p>
      <w:pPr>
        <w:pStyle w:val="Heading2"/>
      </w:pPr>
      <w:r>
        <w:rPr>
          <w:rFonts w:ascii="Times New Roman" w:hAnsi="Times New Roman" w:eastAsia="宋体"/>
          <w:color w:val="000000"/>
        </w:rPr>
        <w:t>3.1 核心问题</w:t>
      </w:r>
    </w:p>
    <w:p>
      <w:pPr>
        <w:ind w:firstLine="357"/>
      </w:pPr>
      <w:r>
        <w:rPr>
          <w:rFonts w:ascii="Times New Roman" w:hAnsi="Times New Roman" w:eastAsia="宋体"/>
          <w:b w:val="0"/>
          <w:sz w:val="24"/>
        </w:rPr>
        <w:t>本论文聚焦错配-修复框架适用性验证，拟回答/完成以下问题/任务：</w:t>
      </w:r>
    </w:p>
    <w:p>
      <w:pPr>
        <w:ind w:firstLine="357"/>
      </w:pPr>
      <w:r>
        <w:rPr>
          <w:rFonts w:ascii="Times New Roman" w:hAnsi="Times New Roman" w:eastAsia="宋体"/>
          <w:b w:val="0"/>
          <w:sz w:val="24"/>
        </w:rPr>
        <w:t>1. "错配-修复"分析框架能否有效适配于所选的新固废工程案例？</w:t>
      </w:r>
    </w:p>
    <w:p>
      <w:pPr>
        <w:ind w:firstLine="357"/>
      </w:pPr>
      <w:r>
        <w:rPr>
          <w:rFonts w:ascii="Times New Roman" w:hAnsi="Times New Roman" w:eastAsia="宋体"/>
          <w:b w:val="0"/>
          <w:sz w:val="24"/>
        </w:rPr>
        <w:t>2. 框架的适用是否存在明确的边界条件（案例类型/行业背景/技术复杂度）？</w:t>
      </w:r>
    </w:p>
    <w:p>
      <w:pPr>
        <w:ind w:firstLine="357"/>
      </w:pPr>
      <w:r>
        <w:rPr>
          <w:rFonts w:ascii="Times New Roman" w:hAnsi="Times New Roman" w:eastAsia="宋体"/>
          <w:b w:val="0"/>
          <w:sz w:val="24"/>
        </w:rPr>
        <w:t>3. 哪些案例类型超出了框架的分析范围？</w:t>
      </w:r>
    </w:p>
    <w:p>
      <w:pPr>
        <w:pStyle w:val="Heading2"/>
      </w:pPr>
      <w:r>
        <w:rPr>
          <w:rFonts w:ascii="Times New Roman" w:hAnsi="Times New Roman" w:eastAsia="宋体"/>
          <w:color w:val="000000"/>
        </w:rPr>
        <w:t>3.2 研究方法/技术路线</w:t>
      </w:r>
    </w:p>
    <w:p>
      <w:r>
        <w:rPr>
          <w:rFonts w:ascii="Times New Roman" w:hAnsi="Times New Roman" w:eastAsia="宋体"/>
          <w:b w:val="0"/>
          <w:sz w:val="24"/>
        </w:rPr>
        <w:t xml:space="preserve">- </w:t>
      </w:r>
      <w:r>
        <w:rPr>
          <w:rFonts w:ascii="Times New Roman" w:hAnsi="Times New Roman" w:eastAsia="宋体"/>
          <w:b/>
          <w:sz w:val="24"/>
        </w:rPr>
        <w:t>方法/技术</w:t>
      </w:r>
      <w:r>
        <w:rPr>
          <w:rFonts w:ascii="Times New Roman" w:hAnsi="Times New Roman" w:eastAsia="宋体"/>
          <w:b w:val="0"/>
          <w:sz w:val="24"/>
        </w:rPr>
        <w:t>: 案例分析法（框架适配 + 边界检验）</w:t>
      </w:r>
    </w:p>
    <w:p>
      <w:r>
        <w:rPr>
          <w:rFonts w:ascii="Times New Roman" w:hAnsi="Times New Roman" w:eastAsia="宋体"/>
          <w:b w:val="0"/>
          <w:sz w:val="24"/>
        </w:rPr>
        <w:t xml:space="preserve">- </w:t>
      </w:r>
      <w:r>
        <w:rPr>
          <w:rFonts w:ascii="Times New Roman" w:hAnsi="Times New Roman" w:eastAsia="宋体"/>
          <w:b/>
          <w:sz w:val="24"/>
        </w:rPr>
        <w:t>数据/素材</w:t>
      </w:r>
      <w:r>
        <w:rPr>
          <w:rFonts w:ascii="Times New Roman" w:hAnsi="Times New Roman" w:eastAsia="宋体"/>
          <w:b w:val="0"/>
          <w:sz w:val="24"/>
        </w:rPr>
        <w:t>: 选取专著Ch3中2-3个子框架 + 2-3个新固废工程案例</w:t>
      </w:r>
    </w:p>
    <w:p>
      <w:r>
        <w:rPr>
          <w:rFonts w:ascii="Times New Roman" w:hAnsi="Times New Roman" w:eastAsia="宋体"/>
          <w:b w:val="0"/>
          <w:sz w:val="24"/>
        </w:rPr>
        <w:t xml:space="preserve">- </w:t>
      </w:r>
      <w:r>
        <w:rPr>
          <w:rFonts w:ascii="Times New Roman" w:hAnsi="Times New Roman" w:eastAsia="宋体"/>
          <w:b/>
          <w:sz w:val="24"/>
        </w:rPr>
        <w:t>分析工具/开发环境</w:t>
      </w:r>
      <w:r>
        <w:rPr>
          <w:rFonts w:ascii="Times New Roman" w:hAnsi="Times New Roman" w:eastAsia="宋体"/>
          <w:b w:val="0"/>
          <w:sz w:val="24"/>
        </w:rPr>
        <w:t>: 案例分析模板 / 框架适配表</w:t>
      </w:r>
    </w:p>
    <w:p>
      <w:r>
        <w:rPr>
          <w:rFonts w:ascii="Times New Roman" w:hAnsi="Times New Roman" w:eastAsia="宋体"/>
          <w:b w:val="0"/>
          <w:sz w:val="24"/>
        </w:rPr>
        <w:t xml:space="preserve">- </w:t>
      </w:r>
      <w:r>
        <w:rPr>
          <w:rFonts w:ascii="Times New Roman" w:hAnsi="Times New Roman" w:eastAsia="宋体"/>
          <w:b/>
          <w:sz w:val="24"/>
        </w:rPr>
        <w:t>核心工作</w:t>
      </w:r>
      <w:r>
        <w:rPr>
          <w:rFonts w:ascii="Times New Roman" w:hAnsi="Times New Roman" w:eastAsia="宋体"/>
          <w:b w:val="0"/>
          <w:sz w:val="24"/>
        </w:rPr>
        <w:t>: 选取子框架 → 收集新案例 → 逐框架适配分析 → 检验适用边界 → 撰写报告</w:t>
      </w:r>
    </w:p>
    <w:p>
      <w:r>
        <w:rPr>
          <w:rFonts w:ascii="Times New Roman" w:hAnsi="Times New Roman" w:eastAsia="宋体"/>
          <w:b w:val="0"/>
          <w:sz w:val="24"/>
        </w:rPr>
        <w:t xml:space="preserve">- </w:t>
      </w:r>
      <w:r>
        <w:rPr>
          <w:rFonts w:ascii="Times New Roman" w:hAnsi="Times New Roman" w:eastAsia="宋体"/>
          <w:b/>
          <w:sz w:val="24"/>
        </w:rPr>
        <w:t>独立工作内容</w:t>
      </w:r>
      <w:r>
        <w:rPr>
          <w:rFonts w:ascii="Times New Roman" w:hAnsi="Times New Roman" w:eastAsia="宋体"/>
          <w:b w:val="0"/>
          <w:sz w:val="24"/>
        </w:rPr>
        <w:t>: 独立收集新案例、独立完成框架适配分析、独立识别适用边界条件</w:t>
      </w:r>
    </w:p>
    <w:p>
      <w:pPr>
        <w:pStyle w:val="Heading1"/>
      </w:pPr>
      <w:r>
        <w:rPr>
          <w:rFonts w:ascii="Times New Roman" w:hAnsi="Times New Roman" w:eastAsia="宋体"/>
          <w:color w:val="000000"/>
        </w:rPr>
        <w:t>四、进度安排（5 周）</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宋体"/>
                <w:b/>
                <w:sz w:val="20"/>
              </w:rPr>
              <w:t>周次</w:t>
            </w:r>
          </w:p>
        </w:tc>
        <w:tc>
          <w:tcPr>
            <w:tcW w:type="dxa" w:w="4680"/>
          </w:tcPr>
          <w:p>
            <w:r/>
            <w:r>
              <w:rPr>
                <w:rFonts w:ascii="Times New Roman" w:hAnsi="Times New Roman" w:eastAsia="宋体"/>
                <w:b/>
                <w:sz w:val="20"/>
              </w:rPr>
              <w:t>工作内容</w:t>
            </w:r>
          </w:p>
        </w:tc>
      </w:tr>
      <w:tr>
        <w:tc>
          <w:tcPr>
            <w:tcW w:type="dxa" w:w="4680"/>
          </w:tcPr>
          <w:p>
            <w:r/>
            <w:r>
              <w:rPr>
                <w:rFonts w:ascii="Times New Roman" w:hAnsi="Times New Roman" w:eastAsia="宋体"/>
                <w:b w:val="0"/>
                <w:sz w:val="20"/>
              </w:rPr>
              <w:t>W1</w:t>
            </w:r>
          </w:p>
        </w:tc>
        <w:tc>
          <w:tcPr>
            <w:tcW w:type="dxa" w:w="4680"/>
          </w:tcPr>
          <w:p>
            <w:r/>
            <w:r>
              <w:rPr>
                <w:rFonts w:ascii="Times New Roman" w:hAnsi="Times New Roman" w:eastAsia="宋体"/>
                <w:b w:val="0"/>
                <w:sz w:val="20"/>
              </w:rPr>
              <w:t>选题+文献(8篇)</w:t>
            </w:r>
          </w:p>
        </w:tc>
      </w:tr>
      <w:tr>
        <w:tc>
          <w:tcPr>
            <w:tcW w:type="dxa" w:w="4680"/>
          </w:tcPr>
          <w:p>
            <w:r/>
            <w:r>
              <w:rPr>
                <w:rFonts w:ascii="Times New Roman" w:hAnsi="Times New Roman" w:eastAsia="宋体"/>
                <w:b w:val="0"/>
                <w:sz w:val="20"/>
              </w:rPr>
              <w:t>W2</w:t>
            </w:r>
          </w:p>
        </w:tc>
        <w:tc>
          <w:tcPr>
            <w:tcW w:type="dxa" w:w="4680"/>
          </w:tcPr>
          <w:p>
            <w:r/>
            <w:r>
              <w:rPr>
                <w:rFonts w:ascii="Times New Roman" w:hAnsi="Times New Roman" w:eastAsia="宋体"/>
                <w:b w:val="0"/>
                <w:sz w:val="20"/>
              </w:rPr>
              <w:t>选子框架+案例</w:t>
            </w:r>
          </w:p>
        </w:tc>
      </w:tr>
      <w:tr>
        <w:tc>
          <w:tcPr>
            <w:tcW w:type="dxa" w:w="4680"/>
          </w:tcPr>
          <w:p>
            <w:r/>
            <w:r>
              <w:rPr>
                <w:rFonts w:ascii="Times New Roman" w:hAnsi="Times New Roman" w:eastAsia="宋体"/>
                <w:b w:val="0"/>
                <w:sz w:val="20"/>
              </w:rPr>
              <w:t>W3</w:t>
            </w:r>
          </w:p>
        </w:tc>
        <w:tc>
          <w:tcPr>
            <w:tcW w:type="dxa" w:w="4680"/>
          </w:tcPr>
          <w:p>
            <w:r/>
            <w:r>
              <w:rPr>
                <w:rFonts w:ascii="Times New Roman" w:hAnsi="Times New Roman" w:eastAsia="宋体"/>
                <w:b w:val="0"/>
                <w:sz w:val="20"/>
              </w:rPr>
              <w:t>框架适配分析</w:t>
            </w:r>
          </w:p>
        </w:tc>
      </w:tr>
      <w:tr>
        <w:tc>
          <w:tcPr>
            <w:tcW w:type="dxa" w:w="4680"/>
          </w:tcPr>
          <w:p>
            <w:r/>
            <w:r>
              <w:rPr>
                <w:rFonts w:ascii="Times New Roman" w:hAnsi="Times New Roman" w:eastAsia="宋体"/>
                <w:b w:val="0"/>
                <w:sz w:val="20"/>
              </w:rPr>
              <w:t>W4</w:t>
            </w:r>
          </w:p>
        </w:tc>
        <w:tc>
          <w:tcPr>
            <w:tcW w:type="dxa" w:w="4680"/>
          </w:tcPr>
          <w:p>
            <w:r/>
            <w:r>
              <w:rPr>
                <w:rFonts w:ascii="Times New Roman" w:hAnsi="Times New Roman" w:eastAsia="宋体"/>
                <w:b w:val="0"/>
                <w:sz w:val="20"/>
              </w:rPr>
              <w:t>边界检验+归纳</w:t>
            </w:r>
          </w:p>
        </w:tc>
      </w:tr>
      <w:tr>
        <w:tc>
          <w:tcPr>
            <w:tcW w:type="dxa" w:w="4680"/>
          </w:tcPr>
          <w:p>
            <w:r/>
            <w:r>
              <w:rPr>
                <w:rFonts w:ascii="Times New Roman" w:hAnsi="Times New Roman" w:eastAsia="宋体"/>
                <w:b w:val="0"/>
                <w:sz w:val="20"/>
              </w:rPr>
              <w:t>W5</w:t>
            </w:r>
          </w:p>
        </w:tc>
        <w:tc>
          <w:tcPr>
            <w:tcW w:type="dxa" w:w="4680"/>
          </w:tcPr>
          <w:p>
            <w:r/>
            <w:r>
              <w:rPr>
                <w:rFonts w:ascii="Times New Roman" w:hAnsi="Times New Roman" w:eastAsia="宋体"/>
                <w:b w:val="0"/>
                <w:sz w:val="20"/>
              </w:rPr>
              <w:t>撰写+定稿</w:t>
            </w:r>
          </w:p>
        </w:tc>
      </w:tr>
    </w:tbl>
    <w:p/>
    <w:p>
      <w:pPr>
        <w:pStyle w:val="Heading1"/>
      </w:pPr>
      <w:r>
        <w:rPr>
          <w:rFonts w:ascii="Times New Roman" w:hAnsi="Times New Roman" w:eastAsia="宋体"/>
          <w:color w:val="000000"/>
        </w:rPr>
        <w:t>五、预期成果</w:t>
      </w:r>
    </w:p>
    <w:p>
      <w:r>
        <w:rPr>
          <w:rFonts w:ascii="Times New Roman" w:hAnsi="Times New Roman" w:eastAsia="宋体"/>
          <w:b w:val="0"/>
          <w:sz w:val="24"/>
        </w:rPr>
        <w:t xml:space="preserve">- </w:t>
      </w:r>
      <w:r>
        <w:rPr>
          <w:rFonts w:ascii="Times New Roman" w:hAnsi="Times New Roman" w:eastAsia="宋体"/>
          <w:b/>
          <w:sz w:val="24"/>
        </w:rPr>
        <w:t>"{data['title']}"{kind_cn2}一份</w:t>
      </w:r>
      <w:r>
        <w:rPr>
          <w:rFonts w:ascii="Times New Roman" w:hAnsi="Times New Roman" w:eastAsia="宋体"/>
          <w:b w:val="0"/>
          <w:sz w:val="24"/>
        </w:rPr>
        <w:t>，字数约 {'8,000-12,000 字' if is_thesis else '设计说明书 3,000-5,000 字 + 源代码附册'}</w:t>
      </w:r>
    </w:p>
    <w:p>
      <w:r>
        <w:rPr>
          <w:rFonts w:ascii="Times New Roman" w:hAnsi="Times New Roman" w:eastAsia="宋体"/>
          <w:b w:val="0"/>
          <w:sz w:val="24"/>
        </w:rPr>
        <w:t>- {'编码框架表 + 证据/反例归纳文档 + 教学日志编码分析报告' if topic_id == '论-A1' else ''}{'阅读体验问卷 + 描述统计报告' if topic_id == '论-A2' else ''}{'框架适配分析表 + 适用边界条件文档' if topic_id == '论-A3' else ''}{'思政编码框架 + 主题编码报告' if topic_id == '论-A4' else ''}{'1个交互式HTML页源代码 + 设计说明书' if topic_id.startswith('设-') else ''}</w:t>
      </w:r>
    </w:p>
    <w:p>
      <w:pPr>
        <w:pStyle w:val="Heading1"/>
      </w:pPr>
      <w:r>
        <w:rPr>
          <w:rFonts w:ascii="Times New Roman" w:hAnsi="Times New Roman" w:eastAsia="宋体"/>
          <w:color w:val="000000"/>
        </w:rPr>
        <w:t>六、参考文献</w:t>
      </w:r>
    </w:p>
    <w:p>
      <w:pPr>
        <w:ind w:firstLine="357"/>
      </w:pPr>
      <w:r>
        <w:rPr>
          <w:rFonts w:ascii="Times New Roman" w:hAnsi="Times New Roman" w:eastAsia="宋体"/>
          <w:b w:val="0"/>
          <w:sz w:val="24"/>
        </w:rPr>
        <w:t>[1] 黄正文课题组. 五维错配-修复体系[M]. 成都大学, 2026.</w:t>
      </w:r>
    </w:p>
    <w:p>
      <w:pPr>
        <w:ind w:firstLine="357"/>
      </w:pPr>
      <w:r>
        <w:rPr>
          <w:rFonts w:ascii="Times New Roman" w:hAnsi="Times New Roman" w:eastAsia="宋体"/>
          <w:b w:val="0"/>
          <w:sz w:val="24"/>
        </w:rPr>
        <w:t>[2] Yin R K. Case study research: Design and methods[M]. 5th ed. Sage, 2014.</w:t>
      </w:r>
    </w:p>
    <w:p>
      <w:pPr>
        <w:ind w:firstLine="357"/>
      </w:pPr>
      <w:r>
        <w:rPr>
          <w:rFonts w:ascii="Times New Roman" w:hAnsi="Times New Roman" w:eastAsia="宋体"/>
          <w:b w:val="0"/>
          <w:sz w:val="24"/>
        </w:rPr>
        <w:t>[3] 点暇斋. 网络普惠教育系列纪实小说[M]. QQ阅读/17K, 2023-2024.</w:t>
      </w:r>
    </w:p>
    <w:p>
      <w:pPr>
        <w:ind w:firstLine="357"/>
      </w:pPr>
      <w:r>
        <w:rPr>
          <w:rFonts w:ascii="Times New Roman" w:hAnsi="Times New Roman" w:eastAsia="宋体"/>
          <w:b w:val="0"/>
          <w:sz w:val="24"/>
        </w:rPr>
        <w:t>[4] 栾胜基, 等. 固体废物管理工程[M]. 高等教育出版社, 2019.</w:t>
      </w:r>
    </w:p>
    <w:p>
      <w:pPr>
        <w:ind w:firstLine="357"/>
      </w:pPr>
      <w:r>
        <w:rPr>
          <w:rFonts w:ascii="Times New Roman" w:hAnsi="Times New Roman" w:eastAsia="宋体"/>
          <w:b w:val="0"/>
          <w:sz w:val="24"/>
        </w:rPr>
        <w:t>[5] Eisenhardt K M. Building theories from case study research[J]. Academy of Management Review, 1989, 14(4): 532-550.</w:t>
      </w:r>
    </w:p>
    <w:p>
      <w:pPr>
        <w:ind w:firstLine="357"/>
      </w:pPr>
      <w:r>
        <w:rPr>
          <w:rFonts w:ascii="Times New Roman" w:hAnsi="Times New Roman" w:eastAsia="宋体"/>
          <w:b w:val="0"/>
          <w:sz w:val="24"/>
        </w:rPr>
        <w:t>[6] 中国工程教育专业认证协会. 工程教育认证标准[S]. 2024.</w:t>
      </w:r>
    </w:p>
    <w:p>
      <w:r>
        <w:rPr>
          <w:rFonts w:ascii="Times New Roman" w:hAnsi="Times New Roman" w:eastAsia="宋体"/>
          <w:b w:val="0"/>
          <w:sz w:val="24"/>
        </w:rPr>
      </w:r>
      <w:r>
        <w:rPr>
          <w:rFonts w:ascii="Times New Roman" w:hAnsi="Times New Roman" w:eastAsia="宋体"/>
          <w:b/>
          <w:sz w:val="24"/>
        </w:rPr>
        <w:t>开题日期:</w:t>
      </w:r>
      <w:r>
        <w:rPr>
          <w:rFonts w:ascii="Times New Roman" w:hAnsi="Times New Roman" w:eastAsia="宋体"/>
          <w:b w:val="0"/>
          <w:sz w:val="24"/>
        </w:rPr>
        <w:t xml:space="preserve"> 2026年___月___日 | </w:t>
      </w:r>
      <w:r>
        <w:rPr>
          <w:rFonts w:ascii="Times New Roman" w:hAnsi="Times New Roman" w:eastAsia="宋体"/>
          <w:b/>
          <w:sz w:val="24"/>
        </w:rPr>
        <w:t>指导教师签字:</w:t>
      </w:r>
      <w:r>
        <w:rPr>
          <w:rFonts w:ascii="Times New Roman" w:hAnsi="Times New Roman" w:eastAsia="宋体"/>
          <w:b w:val="0"/>
          <w:sz w:val="24"/>
        </w:rPr>
        <w:t xml:space="preserv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