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毕业论文开题报告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固废课程思政叙事化路径的实施效果分析</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r>
        <w:rPr>
          <w:rFonts w:ascii="Times New Roman" w:hAnsi="Times New Roman" w:eastAsia="宋体"/>
          <w:b w:val="0"/>
          <w:sz w:val="24"/>
        </w:rPr>
      </w:r>
      <w:r>
        <w:rPr>
          <w:rFonts w:ascii="Times New Roman" w:hAnsi="Times New Roman" w:eastAsia="宋体"/>
          <w:b/>
          <w:sz w:val="24"/>
        </w:rPr>
        <w:t>素材来源:</w:t>
      </w:r>
      <w:r>
        <w:rPr>
          <w:rFonts w:ascii="Times New Roman" w:hAnsi="Times New Roman" w:eastAsia="宋体"/>
          <w:b w:val="0"/>
          <w:sz w:val="24"/>
        </w:rPr>
        <w:t xml:space="preserve"> 专著章节 Ch7 + Ch8 反思段</w:t>
      </w:r>
    </w:p>
    <w:p>
      <w:pPr>
        <w:pStyle w:val="Heading1"/>
      </w:pPr>
      <w:r>
        <w:rPr>
          <w:rFonts w:ascii="Times New Roman" w:hAnsi="Times New Roman" w:eastAsia="宋体"/>
          <w:color w:val="000000"/>
        </w:rPr>
        <w:t>一、选题背景与工程教育定位</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经三个教学周期（2023-2025）迭代验证。《工程研究生教育中的NFSC四维教学法》专著全面记录了该教学法的理论基础、框架设计、平台部署与教学实效。</w:t>
      </w:r>
    </w:p>
    <w:p>
      <w:pPr>
        <w:ind w:firstLine="357"/>
      </w:pPr>
      <w:r>
        <w:rPr>
          <w:rFonts w:ascii="Times New Roman" w:hAnsi="Times New Roman" w:eastAsia="宋体"/>
          <w:b w:val="0"/>
          <w:sz w:val="24"/>
        </w:rPr>
        <w:t>本论文依托</w:t>
      </w:r>
      <w:r>
        <w:rPr>
          <w:rFonts w:ascii="Times New Roman" w:hAnsi="Times New Roman" w:eastAsia="宋体"/>
          <w:b/>
          <w:sz w:val="24"/>
        </w:rPr>
        <w:t>专著第7章</w:t>
      </w:r>
      <w:r>
        <w:rPr>
          <w:rFonts w:ascii="Times New Roman" w:hAnsi="Times New Roman" w:eastAsia="宋体"/>
          <w:b w:val="0"/>
          <w:sz w:val="24"/>
        </w:rPr>
        <w:t>，以环境工程专业本科生视角，对专著中的特定方法论/工具/数据进行独立的验证或设计。</w:t>
      </w:r>
    </w:p>
    <w:p>
      <w:pPr>
        <w:pStyle w:val="Heading2"/>
      </w:pPr>
      <w:r>
        <w:rPr>
          <w:rFonts w:ascii="Times New Roman" w:hAnsi="Times New Roman" w:eastAsia="宋体"/>
          <w:color w:val="000000"/>
        </w:rPr>
        <w:t>1.2 环境工程专业认证定位</w:t>
      </w:r>
    </w:p>
    <w:p>
      <w:pPr>
        <w:ind w:firstLine="357"/>
      </w:pPr>
      <w:r>
        <w:rPr>
          <w:rFonts w:ascii="Times New Roman" w:hAnsi="Times New Roman" w:eastAsia="宋体"/>
          <w:b w:val="0"/>
          <w:sz w:val="24"/>
        </w:rPr>
        <w:t>本选题非"教育学"研究。分析/建造的对象是</w:t>
      </w:r>
      <w:r>
        <w:rPr>
          <w:rFonts w:ascii="Times New Roman" w:hAnsi="Times New Roman" w:eastAsia="宋体"/>
          <w:b/>
          <w:sz w:val="24"/>
        </w:rPr>
        <w:t>固废工程课程的教学数据与知识体系</w:t>
      </w:r>
      <w:r>
        <w:rPr>
          <w:rFonts w:ascii="Times New Roman" w:hAnsi="Times New Roman" w:eastAsia="宋体"/>
          <w:b w:val="0"/>
          <w:sz w:val="24"/>
        </w:rPr>
        <w:t>，使用的方法是</w:t>
      </w:r>
      <w:r>
        <w:rPr>
          <w:rFonts w:ascii="Times New Roman" w:hAnsi="Times New Roman" w:eastAsia="宋体"/>
          <w:b/>
          <w:sz w:val="24"/>
        </w:rPr>
        <w:t>工程领域通用的数据分析与系统设计方法</w:t>
      </w:r>
      <w:r>
        <w:rPr>
          <w:rFonts w:ascii="Times New Roman" w:hAnsi="Times New Roman" w:eastAsia="宋体"/>
          <w:b w:val="0"/>
          <w:sz w:val="24"/>
        </w:rPr>
        <w:t>。选题精准支撑工程教育认证的以下毕业要求：</w:t>
      </w:r>
    </w:p>
    <w:p>
      <w:pPr>
        <w:pStyle w:val="Heading1"/>
      </w:pPr>
      <w:r>
        <w:rPr>
          <w:rFonts w:ascii="Times New Roman" w:hAnsi="Times New Roman" w:eastAsia="宋体"/>
          <w:color w:val="000000"/>
        </w:rPr>
        <w:t>毕业要求支撑矩阵</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宋体"/>
                <w:b/>
                <w:sz w:val="20"/>
              </w:rPr>
              <w:t>毕业要求条目</w:t>
            </w:r>
          </w:p>
        </w:tc>
        <w:tc>
          <w:tcPr>
            <w:tcW w:type="dxa" w:w="3120"/>
          </w:tcPr>
          <w:p>
            <w:r/>
            <w:r>
              <w:rPr>
                <w:rFonts w:ascii="Times New Roman" w:hAnsi="Times New Roman" w:eastAsia="宋体"/>
                <w:b/>
                <w:sz w:val="20"/>
              </w:rPr>
              <w:t>本选题如何支撑</w:t>
            </w:r>
          </w:p>
        </w:tc>
        <w:tc>
          <w:tcPr>
            <w:tcW w:type="dxa" w:w="3120"/>
          </w:tcPr>
          <w:p>
            <w:r/>
            <w:r>
              <w:rPr>
                <w:rFonts w:ascii="Times New Roman" w:hAnsi="Times New Roman" w:eastAsia="宋体"/>
                <w:b/>
                <w:sz w:val="20"/>
              </w:rPr>
              <w:t>对应工作内容</w:t>
            </w:r>
          </w:p>
        </w:tc>
      </w:tr>
      <w:tr>
        <w:tc>
          <w:tcPr>
            <w:tcW w:type="dxa" w:w="3120"/>
          </w:tcPr>
          <w:p>
            <w:r/>
            <w:r>
              <w:rPr>
                <w:rFonts w:ascii="Times New Roman" w:hAnsi="Times New Roman" w:eastAsia="宋体"/>
                <w:b w:val="0"/>
                <w:sz w:val="20"/>
              </w:rPr>
              <w:t>6. 工程与社会</w:t>
            </w:r>
          </w:p>
        </w:tc>
        <w:tc>
          <w:tcPr>
            <w:tcW w:type="dxa" w:w="3120"/>
          </w:tcPr>
          <w:p>
            <w:r/>
            <w:r>
              <w:rPr>
                <w:rFonts w:ascii="Times New Roman" w:hAnsi="Times New Roman" w:eastAsia="宋体"/>
                <w:b w:val="0"/>
                <w:sz w:val="20"/>
              </w:rPr>
              <w:t>分析工程教育中工程伦理与社会责任的教学效果</w:t>
            </w:r>
          </w:p>
        </w:tc>
        <w:tc>
          <w:tcPr>
            <w:tcW w:type="dxa" w:w="3120"/>
          </w:tcPr>
          <w:p>
            <w:r/>
            <w:r>
              <w:rPr>
                <w:rFonts w:ascii="Times New Roman" w:hAnsi="Times New Roman" w:eastAsia="宋体"/>
                <w:b w:val="0"/>
                <w:sz w:val="20"/>
              </w:rPr>
              <w:t>思政内容编码分析</w:t>
            </w:r>
          </w:p>
        </w:tc>
      </w:tr>
      <w:tr>
        <w:tc>
          <w:tcPr>
            <w:tcW w:type="dxa" w:w="3120"/>
          </w:tcPr>
          <w:p>
            <w:r/>
            <w:r>
              <w:rPr>
                <w:rFonts w:ascii="Times New Roman" w:hAnsi="Times New Roman" w:eastAsia="宋体"/>
                <w:b w:val="0"/>
                <w:sz w:val="20"/>
              </w:rPr>
              <w:t>8. 职业规范</w:t>
            </w:r>
          </w:p>
        </w:tc>
        <w:tc>
          <w:tcPr>
            <w:tcW w:type="dxa" w:w="3120"/>
          </w:tcPr>
          <w:p>
            <w:r/>
            <w:r>
              <w:rPr>
                <w:rFonts w:ascii="Times New Roman" w:hAnsi="Times New Roman" w:eastAsia="宋体"/>
                <w:b w:val="0"/>
                <w:sz w:val="20"/>
              </w:rPr>
              <w:t>评估工程伦理素养培养的教学实施效果</w:t>
            </w:r>
          </w:p>
        </w:tc>
        <w:tc>
          <w:tcPr>
            <w:tcW w:type="dxa" w:w="3120"/>
          </w:tcPr>
          <w:p>
            <w:r/>
            <w:r>
              <w:rPr>
                <w:rFonts w:ascii="Times New Roman" w:hAnsi="Times New Roman" w:eastAsia="宋体"/>
                <w:b w:val="0"/>
                <w:sz w:val="20"/>
              </w:rPr>
              <w:t>思政实施效果评估</w:t>
            </w:r>
          </w:p>
        </w:tc>
      </w:tr>
      <w:tr>
        <w:tc>
          <w:tcPr>
            <w:tcW w:type="dxa" w:w="3120"/>
          </w:tcPr>
          <w:p>
            <w:r/>
            <w:r>
              <w:rPr>
                <w:rFonts w:ascii="Times New Roman" w:hAnsi="Times New Roman" w:eastAsia="宋体"/>
                <w:b w:val="0"/>
                <w:sz w:val="20"/>
              </w:rPr>
              <w:t>4. 研究</w:t>
            </w:r>
          </w:p>
        </w:tc>
        <w:tc>
          <w:tcPr>
            <w:tcW w:type="dxa" w:w="3120"/>
          </w:tcPr>
          <w:p>
            <w:r/>
            <w:r>
              <w:rPr>
                <w:rFonts w:ascii="Times New Roman" w:hAnsi="Times New Roman" w:eastAsia="宋体"/>
                <w:b w:val="0"/>
                <w:sz w:val="20"/>
              </w:rPr>
              <w:t>运用质性编码方法对教学数据进行系统分析</w:t>
            </w:r>
          </w:p>
        </w:tc>
        <w:tc>
          <w:tcPr>
            <w:tcW w:type="dxa" w:w="3120"/>
          </w:tcPr>
          <w:p>
            <w:r/>
            <w:r>
              <w:rPr>
                <w:rFonts w:ascii="Times New Roman" w:hAnsi="Times New Roman" w:eastAsia="宋体"/>
                <w:b w:val="0"/>
                <w:sz w:val="20"/>
              </w:rPr>
              <w:t>主题编码</w:t>
            </w:r>
          </w:p>
        </w:tc>
      </w:tr>
    </w:tbl>
    <w:p/>
    <w:p>
      <w:r>
        <w:rPr>
          <w:rFonts w:ascii="Times New Roman" w:hAnsi="Times New Roman" w:eastAsia="宋体"/>
          <w:b w:val="0"/>
          <w:sz w:val="24"/>
        </w:rPr>
        <w:t>（注：以上条目依据《工程教育认证标准》12条毕业要求，标注本选题支撑的核心能力维度。）</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工程课程思政的政策背景 → 叙事化教学方法在价值教育中的应用 → 固废课程双线叙事路径概述 → 思政效果评价方法</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本论文聚焦课程思政叙事化路径效果分析，拟回答/完成以下问题/任务：</w:t>
      </w:r>
    </w:p>
    <w:p>
      <w:pPr>
        <w:ind w:firstLine="357"/>
      </w:pPr>
      <w:r>
        <w:rPr>
          <w:rFonts w:ascii="Times New Roman" w:hAnsi="Times New Roman" w:eastAsia="宋体"/>
          <w:b w:val="0"/>
          <w:sz w:val="24"/>
        </w:rPr>
        <w:t>1. 固废课程思政叙事化路径（学习思政线/生态思政线）在八周教学中如何体现？</w:t>
      </w:r>
    </w:p>
    <w:p>
      <w:pPr>
        <w:ind w:firstLine="357"/>
      </w:pPr>
      <w:r>
        <w:rPr>
          <w:rFonts w:ascii="Times New Roman" w:hAnsi="Times New Roman" w:eastAsia="宋体"/>
          <w:b w:val="0"/>
          <w:sz w:val="24"/>
        </w:rPr>
        <w:t>2. 思政元素的呈现是否存在"标签化"或"两张皮"现象？</w:t>
      </w:r>
    </w:p>
    <w:p>
      <w:pPr>
        <w:ind w:firstLine="357"/>
      </w:pPr>
      <w:r>
        <w:rPr>
          <w:rFonts w:ascii="Times New Roman" w:hAnsi="Times New Roman" w:eastAsia="宋体"/>
          <w:b w:val="0"/>
          <w:sz w:val="24"/>
        </w:rPr>
        <w:t>3. 哪些教学场景（课堂讲授/场景沉浸/课后作业）对思政效果贡献最大？</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方法/技术</w:t>
      </w:r>
      <w:r>
        <w:rPr>
          <w:rFonts w:ascii="Times New Roman" w:hAnsi="Times New Roman" w:eastAsia="宋体"/>
          <w:b w:val="0"/>
          <w:sz w:val="24"/>
        </w:rPr>
        <w:t>: 质性主题编码</w:t>
      </w:r>
    </w:p>
    <w:p>
      <w:r>
        <w:rPr>
          <w:rFonts w:ascii="Times New Roman" w:hAnsi="Times New Roman" w:eastAsia="宋体"/>
          <w:b w:val="0"/>
          <w:sz w:val="24"/>
        </w:rPr>
        <w:t xml:space="preserve">- </w:t>
      </w:r>
      <w:r>
        <w:rPr>
          <w:rFonts w:ascii="Times New Roman" w:hAnsi="Times New Roman" w:eastAsia="宋体"/>
          <w:b/>
          <w:sz w:val="24"/>
        </w:rPr>
        <w:t>数据/素材</w:t>
      </w:r>
      <w:r>
        <w:rPr>
          <w:rFonts w:ascii="Times New Roman" w:hAnsi="Times New Roman" w:eastAsia="宋体"/>
          <w:b w:val="0"/>
          <w:sz w:val="24"/>
        </w:rPr>
        <w:t>: 专著第七章课程思政设计文档 + 第八章教学反思中思政相关段</w:t>
      </w:r>
    </w:p>
    <w:p>
      <w:r>
        <w:rPr>
          <w:rFonts w:ascii="Times New Roman" w:hAnsi="Times New Roman" w:eastAsia="宋体"/>
          <w:b w:val="0"/>
          <w:sz w:val="24"/>
        </w:rPr>
        <w:t xml:space="preserve">- </w:t>
      </w:r>
      <w:r>
        <w:rPr>
          <w:rFonts w:ascii="Times New Roman" w:hAnsi="Times New Roman" w:eastAsia="宋体"/>
          <w:b/>
          <w:sz w:val="24"/>
        </w:rPr>
        <w:t>分析工具/开发环境</w:t>
      </w:r>
      <w:r>
        <w:rPr>
          <w:rFonts w:ascii="Times New Roman" w:hAnsi="Times New Roman" w:eastAsia="宋体"/>
          <w:b w:val="0"/>
          <w:sz w:val="24"/>
        </w:rPr>
        <w:t>: NVivo / 手工编码</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提取思政相关教学片段 → 按"学习思政线/生态思政线"分类编码 → 归纳实施效果 → 撰写报告</w:t>
      </w:r>
    </w:p>
    <w:p>
      <w:r>
        <w:rPr>
          <w:rFonts w:ascii="Times New Roman" w:hAnsi="Times New Roman" w:eastAsia="宋体"/>
          <w:b w:val="0"/>
          <w:sz w:val="24"/>
        </w:rPr>
        <w:t xml:space="preserve">- </w:t>
      </w:r>
      <w:r>
        <w:rPr>
          <w:rFonts w:ascii="Times New Roman" w:hAnsi="Times New Roman" w:eastAsia="宋体"/>
          <w:b/>
          <w:sz w:val="24"/>
        </w:rPr>
        <w:t>独立工作内容</w:t>
      </w:r>
      <w:r>
        <w:rPr>
          <w:rFonts w:ascii="Times New Roman" w:hAnsi="Times New Roman" w:eastAsia="宋体"/>
          <w:b w:val="0"/>
          <w:sz w:val="24"/>
        </w:rPr>
        <w:t>: 独立设计思政编码框架、独立完成主题编码、独立归纳实施效果</w:t>
      </w:r>
    </w:p>
    <w:p>
      <w:pPr>
        <w:pStyle w:val="Heading1"/>
      </w:pPr>
      <w:r>
        <w:rPr>
          <w:rFonts w:ascii="Times New Roman" w:hAnsi="Times New Roman" w:eastAsia="宋体"/>
          <w:color w:val="000000"/>
        </w:rPr>
        <w:t>四、进度安排（5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选题+文献(8篇)</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设计思政编码框架</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教学片段编码</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归纳实施效果</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撰写+定稿</w:t>
            </w:r>
          </w:p>
        </w:tc>
      </w:tr>
    </w:tbl>
    <w:p/>
    <w:p>
      <w:pPr>
        <w:pStyle w:val="Heading1"/>
      </w:pPr>
      <w:r>
        <w:rPr>
          <w:rFonts w:ascii="Times New Roman" w:hAnsi="Times New Roman" w:eastAsia="宋体"/>
          <w:color w:val="000000"/>
        </w:rPr>
        <w:t>五、预期成果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{'8,000-12,000 字' if is_thesis else '设计说明书 3,000-5,000 字 + 源代码附册'}</w:t>
      </w:r>
    </w:p>
    <w:p>
      <w:r>
        <w:rPr>
          <w:rFonts w:ascii="Times New Roman" w:hAnsi="Times New Roman" w:eastAsia="宋体"/>
          <w:b w:val="0"/>
          <w:sz w:val="24"/>
        </w:rPr>
        <w:t>- {'编码框架表 + 证据/反例归纳文档 + 教学日志编码分析报告' if topic_id == '论-A1' else ''}{'阅读体验问卷 + 描述统计报告' if topic_id == '论-A2' else ''}{'框架适配分析表 + 适用边界条件文档' if topic_id == '论-A3' else ''}{'思政编码框架 + 主题编码报告' if topic_id == '论-A4' else ''}{'1个交互式HTML页源代码 + 设计说明书' if topic_id.startswith('设-') else ''}</w:t>
      </w:r>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黄正文课题组. 价值融入：课程思政的叙事化路径[M]. 成都大学, 2026.</w:t>
      </w:r>
    </w:p>
    <w:p>
      <w:pPr>
        <w:ind w:firstLine="357"/>
      </w:pPr>
      <w:r>
        <w:rPr>
          <w:rFonts w:ascii="Times New Roman" w:hAnsi="Times New Roman" w:eastAsia="宋体"/>
          <w:b w:val="0"/>
          <w:sz w:val="24"/>
        </w:rPr>
        <w:t>[2] 教育部. 高等学校课程思政建设指导纲要[S]. 2020.</w:t>
      </w:r>
    </w:p>
    <w:p>
      <w:pPr>
        <w:ind w:firstLine="357"/>
      </w:pPr>
      <w:r>
        <w:rPr>
          <w:rFonts w:ascii="Times New Roman" w:hAnsi="Times New Roman" w:eastAsia="宋体"/>
          <w:b w:val="0"/>
          <w:sz w:val="24"/>
        </w:rPr>
        <w:t>[3] Saldaña J. The coding manual for qualitative researchers[M]. 4th ed. Sage, 2021.</w:t>
      </w:r>
    </w:p>
    <w:p>
      <w:pPr>
        <w:ind w:firstLine="357"/>
      </w:pPr>
      <w:r>
        <w:rPr>
          <w:rFonts w:ascii="Times New Roman" w:hAnsi="Times New Roman" w:eastAsia="宋体"/>
          <w:b w:val="0"/>
          <w:sz w:val="24"/>
        </w:rPr>
        <w:t>[4] 点暇斋. 网络普惠教育系列纪实小说[M]. QQ阅读/17K, 2023-2024.</w:t>
      </w:r>
    </w:p>
    <w:p>
      <w:pPr>
        <w:ind w:firstLine="357"/>
      </w:pPr>
      <w:r>
        <w:rPr>
          <w:rFonts w:ascii="Times New Roman" w:hAnsi="Times New Roman" w:eastAsia="宋体"/>
          <w:b w:val="0"/>
          <w:sz w:val="24"/>
        </w:rPr>
        <w:t>[5] Herreid C F. Case studies in science: A novel method of science education[J]. Journal of College Science Teaching, 1994, 23(4): 221-229.</w:t>
      </w:r>
    </w:p>
    <w:p>
      <w:pPr>
        <w:ind w:firstLine="357"/>
      </w:pPr>
      <w:r>
        <w:rPr>
          <w:rFonts w:ascii="Times New Roman" w:hAnsi="Times New Roman" w:eastAsia="宋体"/>
          <w:b w:val="0"/>
          <w:sz w:val="24"/>
        </w:rPr>
        <w:t>[6] 中国工程教育专业认证协会. 工程教育认证标准[S]. 2024.</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 | </w:t>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