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毕业设计开题报告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"错配-修复"七子框架案例检索系统的设计</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r>
        <w:rPr>
          <w:rFonts w:ascii="Times New Roman" w:hAnsi="Times New Roman" w:eastAsia="宋体"/>
          <w:b w:val="0"/>
          <w:sz w:val="24"/>
        </w:rPr>
      </w:r>
      <w:r>
        <w:rPr>
          <w:rFonts w:ascii="Times New Roman" w:hAnsi="Times New Roman" w:eastAsia="宋体"/>
          <w:b/>
          <w:sz w:val="24"/>
        </w:rPr>
        <w:t>素材来源:</w:t>
      </w:r>
      <w:r>
        <w:rPr>
          <w:rFonts w:ascii="Times New Roman" w:hAnsi="Times New Roman" w:eastAsia="宋体"/>
          <w:b w:val="0"/>
          <w:sz w:val="24"/>
        </w:rPr>
        <w:t xml:space="preserve"> 专著章节 Ch3 + Ch4 案例</w:t>
      </w:r>
    </w:p>
    <w:p>
      <w:pPr>
        <w:pStyle w:val="Heading1"/>
      </w:pPr>
      <w:r>
        <w:rPr>
          <w:rFonts w:ascii="Times New Roman" w:hAnsi="Times New Roman" w:eastAsia="宋体"/>
          <w:color w:val="000000"/>
        </w:rPr>
        <w:t>一、选题背景与工程教育定位</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经三个教学周期（2023-2025）迭代验证。《工程研究生教育中的NFSC四维教学法》专著全面记录了该教学法的理论基础、框架设计、平台部署与教学实效。</w:t>
      </w:r>
    </w:p>
    <w:p>
      <w:pPr>
        <w:ind w:firstLine="357"/>
      </w:pPr>
      <w:r>
        <w:rPr>
          <w:rFonts w:ascii="Times New Roman" w:hAnsi="Times New Roman" w:eastAsia="宋体"/>
          <w:b w:val="0"/>
          <w:sz w:val="24"/>
        </w:rPr>
        <w:t>本设计依托</w:t>
      </w:r>
      <w:r>
        <w:rPr>
          <w:rFonts w:ascii="Times New Roman" w:hAnsi="Times New Roman" w:eastAsia="宋体"/>
          <w:b/>
          <w:sz w:val="24"/>
        </w:rPr>
        <w:t>专著第3章</w:t>
      </w:r>
      <w:r>
        <w:rPr>
          <w:rFonts w:ascii="Times New Roman" w:hAnsi="Times New Roman" w:eastAsia="宋体"/>
          <w:b w:val="0"/>
          <w:sz w:val="24"/>
        </w:rPr>
        <w:t>，以环境工程专业本科生视角，对专著中的特定方法论/工具/数据进行独立的验证或设计。</w:t>
      </w:r>
    </w:p>
    <w:p>
      <w:pPr>
        <w:pStyle w:val="Heading2"/>
      </w:pPr>
      <w:r>
        <w:rPr>
          <w:rFonts w:ascii="Times New Roman" w:hAnsi="Times New Roman" w:eastAsia="宋体"/>
          <w:color w:val="000000"/>
        </w:rPr>
        <w:t>1.2 环境工程专业认证定位</w:t>
      </w:r>
    </w:p>
    <w:p>
      <w:pPr>
        <w:ind w:firstLine="357"/>
      </w:pPr>
      <w:r>
        <w:rPr>
          <w:rFonts w:ascii="Times New Roman" w:hAnsi="Times New Roman" w:eastAsia="宋体"/>
          <w:b w:val="0"/>
          <w:sz w:val="24"/>
        </w:rPr>
        <w:t>本选题非"教育学"研究。分析/建造的对象是</w:t>
      </w:r>
      <w:r>
        <w:rPr>
          <w:rFonts w:ascii="Times New Roman" w:hAnsi="Times New Roman" w:eastAsia="宋体"/>
          <w:b/>
          <w:sz w:val="24"/>
        </w:rPr>
        <w:t>固废工程课程的教学数据与知识体系</w:t>
      </w:r>
      <w:r>
        <w:rPr>
          <w:rFonts w:ascii="Times New Roman" w:hAnsi="Times New Roman" w:eastAsia="宋体"/>
          <w:b w:val="0"/>
          <w:sz w:val="24"/>
        </w:rPr>
        <w:t>，使用的方法是</w:t>
      </w:r>
      <w:r>
        <w:rPr>
          <w:rFonts w:ascii="Times New Roman" w:hAnsi="Times New Roman" w:eastAsia="宋体"/>
          <w:b/>
          <w:sz w:val="24"/>
        </w:rPr>
        <w:t>工程领域通用的数据分析与系统设计方法</w:t>
      </w:r>
      <w:r>
        <w:rPr>
          <w:rFonts w:ascii="Times New Roman" w:hAnsi="Times New Roman" w:eastAsia="宋体"/>
          <w:b w:val="0"/>
          <w:sz w:val="24"/>
        </w:rPr>
        <w:t>。选题精准支撑工程教育认证的以下毕业要求：</w:t>
      </w:r>
    </w:p>
    <w:p>
      <w:pPr>
        <w:pStyle w:val="Heading1"/>
      </w:pPr>
      <w:r>
        <w:rPr>
          <w:rFonts w:ascii="Times New Roman" w:hAnsi="Times New Roman" w:eastAsia="宋体"/>
          <w:color w:val="000000"/>
        </w:rPr>
        <w:t>毕业要求支撑矩阵</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1. 工程知识</w:t>
            </w:r>
          </w:p>
        </w:tc>
        <w:tc>
          <w:tcPr>
            <w:tcW w:type="dxa" w:w="3120"/>
          </w:tcPr>
          <w:p>
            <w:r/>
            <w:r>
              <w:rPr>
                <w:rFonts w:ascii="Times New Roman" w:hAnsi="Times New Roman" w:eastAsia="宋体"/>
                <w:b w:val="0"/>
                <w:sz w:val="20"/>
              </w:rPr>
              <w:t>理解并分类固废工程案例的技术特征与错配类型</w:t>
            </w:r>
          </w:p>
        </w:tc>
        <w:tc>
          <w:tcPr>
            <w:tcW w:type="dxa" w:w="3120"/>
          </w:tcPr>
          <w:p>
            <w:r/>
            <w:r>
              <w:rPr>
                <w:rFonts w:ascii="Times New Roman" w:hAnsi="Times New Roman" w:eastAsia="宋体"/>
                <w:b w:val="0"/>
                <w:sz w:val="20"/>
              </w:rPr>
              <w:t>案例分类与标签化</w:t>
            </w:r>
          </w:p>
        </w:tc>
      </w:tr>
      <w:tr>
        <w:tc>
          <w:tcPr>
            <w:tcW w:type="dxa" w:w="3120"/>
          </w:tcPr>
          <w:p>
            <w:r/>
            <w:r>
              <w:rPr>
                <w:rFonts w:ascii="Times New Roman" w:hAnsi="Times New Roman" w:eastAsia="宋体"/>
                <w:b w:val="0"/>
                <w:sz w:val="20"/>
              </w:rPr>
              <w:t>5. 使用现代工具</w:t>
            </w:r>
          </w:p>
        </w:tc>
        <w:tc>
          <w:tcPr>
            <w:tcW w:type="dxa" w:w="3120"/>
          </w:tcPr>
          <w:p>
            <w:r/>
            <w:r>
              <w:rPr>
                <w:rFonts w:ascii="Times New Roman" w:hAnsi="Times New Roman" w:eastAsia="宋体"/>
                <w:b w:val="0"/>
                <w:sz w:val="20"/>
              </w:rPr>
              <w:t>运用HTML/CSS/JS开发案例检索系统</w:t>
            </w:r>
          </w:p>
        </w:tc>
        <w:tc>
          <w:tcPr>
            <w:tcW w:type="dxa" w:w="3120"/>
          </w:tcPr>
          <w:p>
            <w:r/>
            <w:r>
              <w:rPr>
                <w:rFonts w:ascii="Times New Roman" w:hAnsi="Times New Roman" w:eastAsia="宋体"/>
                <w:b w:val="0"/>
                <w:sz w:val="20"/>
              </w:rPr>
              <w:t>前端编码</w:t>
            </w:r>
          </w:p>
        </w:tc>
      </w:tr>
      <w:tr>
        <w:tc>
          <w:tcPr>
            <w:tcW w:type="dxa" w:w="3120"/>
          </w:tcPr>
          <w:p>
            <w:r/>
            <w:r>
              <w:rPr>
                <w:rFonts w:ascii="Times New Roman" w:hAnsi="Times New Roman" w:eastAsia="宋体"/>
                <w:b w:val="0"/>
                <w:sz w:val="20"/>
              </w:rPr>
              <w:t>2. 问题分析</w:t>
            </w:r>
          </w:p>
        </w:tc>
        <w:tc>
          <w:tcPr>
            <w:tcW w:type="dxa" w:w="3120"/>
          </w:tcPr>
          <w:p>
            <w:r/>
            <w:r>
              <w:rPr>
                <w:rFonts w:ascii="Times New Roman" w:hAnsi="Times New Roman" w:eastAsia="宋体"/>
                <w:b w:val="0"/>
                <w:sz w:val="20"/>
              </w:rPr>
              <w:t>以"错配"为分类框架，构建工程案例的多维检索体系</w:t>
            </w:r>
          </w:p>
        </w:tc>
        <w:tc>
          <w:tcPr>
            <w:tcW w:type="dxa" w:w="3120"/>
          </w:tcPr>
          <w:p>
            <w:r/>
            <w:r>
              <w:rPr>
                <w:rFonts w:ascii="Times New Roman" w:hAnsi="Times New Roman" w:eastAsia="宋体"/>
                <w:b w:val="0"/>
                <w:sz w:val="20"/>
              </w:rPr>
              <w:t>检索逻辑设计</w:t>
            </w:r>
          </w:p>
        </w:tc>
      </w:tr>
    </w:tbl>
    <w:p/>
    <w:p>
      <w:r>
        <w:rPr>
          <w:rFonts w:ascii="Times New Roman" w:hAnsi="Times New Roman" w:eastAsia="宋体"/>
          <w:b w:val="0"/>
          <w:sz w:val="24"/>
        </w:rPr>
        <w:t>（注：以上条目依据《工程教育认证标准》12条毕业要求，标注本选题支撑的核心能力维度。）</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信息检索系统设计 → 工程案例分类方法 → "错配-修复"七子框架概述</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本设计聚焦错配-修复案例检索系统，拟回答/完成以下问题/任务：</w:t>
      </w:r>
    </w:p>
    <w:p>
      <w:pPr>
        <w:ind w:firstLine="357"/>
      </w:pPr>
      <w:r>
        <w:rPr>
          <w:rFonts w:ascii="Times New Roman" w:hAnsi="Times New Roman" w:eastAsia="宋体"/>
          <w:b w:val="0"/>
          <w:sz w:val="24"/>
        </w:rPr>
        <w:t>1. 完成"错配-修复案例检索系统"的完整交互式可视化设计</w:t>
      </w:r>
    </w:p>
    <w:p>
      <w:pPr>
        <w:ind w:firstLine="357"/>
      </w:pPr>
      <w:r>
        <w:rPr>
          <w:rFonts w:ascii="Times New Roman" w:hAnsi="Times New Roman" w:eastAsia="宋体"/>
          <w:b w:val="0"/>
          <w:sz w:val="24"/>
        </w:rPr>
        <w:t>2. 实现核心交互功能（搜索+筛选）</w:t>
      </w:r>
    </w:p>
    <w:p>
      <w:pPr>
        <w:ind w:firstLine="357"/>
      </w:pPr>
      <w:r>
        <w:rPr>
          <w:rFonts w:ascii="Times New Roman" w:hAnsi="Times New Roman" w:eastAsia="宋体"/>
          <w:b w:val="0"/>
          <w:sz w:val="24"/>
        </w:rPr>
        <w:t>3. 确保页面与现有固废课程门户的视觉风格一致</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方法/技术</w:t>
      </w:r>
      <w:r>
        <w:rPr>
          <w:rFonts w:ascii="Times New Roman" w:hAnsi="Times New Roman" w:eastAsia="宋体"/>
          <w:b w:val="0"/>
          <w:sz w:val="24"/>
        </w:rPr>
        <w:t>: HTML + CSS + JavaScript（搜索筛选交互）</w:t>
      </w:r>
    </w:p>
    <w:p>
      <w:r>
        <w:rPr>
          <w:rFonts w:ascii="Times New Roman" w:hAnsi="Times New Roman" w:eastAsia="宋体"/>
          <w:b w:val="0"/>
          <w:sz w:val="24"/>
        </w:rPr>
        <w:t xml:space="preserve">- </w:t>
      </w:r>
      <w:r>
        <w:rPr>
          <w:rFonts w:ascii="Times New Roman" w:hAnsi="Times New Roman" w:eastAsia="宋体"/>
          <w:b/>
          <w:sz w:val="24"/>
        </w:rPr>
        <w:t>数据/素材</w:t>
      </w:r>
      <w:r>
        <w:rPr>
          <w:rFonts w:ascii="Times New Roman" w:hAnsi="Times New Roman" w:eastAsia="宋体"/>
          <w:b w:val="0"/>
          <w:sz w:val="24"/>
        </w:rPr>
        <w:t>: 专著章节 Ch3 + Ch4 案例 中的内容数据</w:t>
      </w:r>
    </w:p>
    <w:p>
      <w:r>
        <w:rPr>
          <w:rFonts w:ascii="Times New Roman" w:hAnsi="Times New Roman" w:eastAsia="宋体"/>
          <w:b w:val="0"/>
          <w:sz w:val="24"/>
        </w:rPr>
        <w:t xml:space="preserve">- </w:t>
      </w:r>
      <w:r>
        <w:rPr>
          <w:rFonts w:ascii="Times New Roman" w:hAnsi="Times New Roman" w:eastAsia="宋体"/>
          <w:b/>
          <w:sz w:val="24"/>
        </w:rPr>
        <w:t>分析工具/开发环境</w:t>
      </w:r>
      <w:r>
        <w:rPr>
          <w:rFonts w:ascii="Times New Roman" w:hAnsi="Times New Roman" w:eastAsia="宋体"/>
          <w:b w:val="0"/>
          <w:sz w:val="24"/>
        </w:rPr>
        <w:t>: VS Code / Chrome DevTools</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整理七子框架案例数据 → 设计搜索+筛选交互 → HTML/CSS/JS编码 → 匹配案例与框架 → 测试优化</w:t>
      </w:r>
    </w:p>
    <w:p>
      <w:r>
        <w:rPr>
          <w:rFonts w:ascii="Times New Roman" w:hAnsi="Times New Roman" w:eastAsia="宋体"/>
          <w:b w:val="0"/>
          <w:sz w:val="24"/>
        </w:rPr>
        <w:t xml:space="preserve">- </w:t>
      </w:r>
      <w:r>
        <w:rPr>
          <w:rFonts w:ascii="Times New Roman" w:hAnsi="Times New Roman" w:eastAsia="宋体"/>
          <w:b/>
          <w:sz w:val="24"/>
        </w:rPr>
        <w:t>独立工作内容</w:t>
      </w:r>
      <w:r>
        <w:rPr>
          <w:rFonts w:ascii="Times New Roman" w:hAnsi="Times New Roman" w:eastAsia="宋体"/>
          <w:b w:val="0"/>
          <w:sz w:val="24"/>
        </w:rPr>
        <w:t>: 独立整理案例数据字典、独立设计检索交互逻辑、独立完成前端编码</w:t>
      </w:r>
    </w:p>
    <w:p>
      <w:pPr>
        <w:pStyle w:val="Heading1"/>
      </w:pPr>
      <w:r>
        <w:rPr>
          <w:rFonts w:ascii="Times New Roman" w:hAnsi="Times New Roman" w:eastAsia="宋体"/>
          <w:color w:val="000000"/>
        </w:rPr>
        <w:t>四、进度安排（5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选题+案例数据整理</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检索逻辑+原型</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HTML/CSS/JS编码</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搜索测试+优化</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说明文档+定稿</w:t>
            </w:r>
          </w:p>
        </w:tc>
      </w:tr>
    </w:tbl>
    <w:p/>
    <w:p>
      <w:pPr>
        <w:pStyle w:val="Heading1"/>
      </w:pPr>
      <w:r>
        <w:rPr>
          <w:rFonts w:ascii="Times New Roman" w:hAnsi="Times New Roman" w:eastAsia="宋体"/>
          <w:color w:val="000000"/>
        </w:rPr>
        <w:t>五、预期成果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{'8,000-12,000 字' if is_thesis else '设计说明书 3,000-5,000 字 + 源代码附册'}</w:t>
      </w:r>
    </w:p>
    <w:p>
      <w:r>
        <w:rPr>
          <w:rFonts w:ascii="Times New Roman" w:hAnsi="Times New Roman" w:eastAsia="宋体"/>
          <w:b w:val="0"/>
          <w:sz w:val="24"/>
        </w:rPr>
        <w:t>- {'编码框架表 + 证据/反例归纳文档 + 教学日志编码分析报告' if topic_id == '论-A1' else ''}{'阅读体验问卷 + 描述统计报告' if topic_id == '论-A2' else ''}{'框架适配分析表 + 适用边界条件文档' if topic_id == '论-A3' else ''}{'思政编码框架 + 主题编码报告' if topic_id == '论-A4' else ''}{'1个交互式HTML页源代码 + 设计说明书' if topic_id.startswith('设-') else ''}</w:t>
      </w:r>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黄正文课题组. 五维错配-修复体系[M]. 成都大学, 2026.</w:t>
      </w:r>
    </w:p>
    <w:p>
      <w:pPr>
        <w:ind w:firstLine="357"/>
      </w:pPr>
      <w:r>
        <w:rPr>
          <w:rFonts w:ascii="Times New Roman" w:hAnsi="Times New Roman" w:eastAsia="宋体"/>
          <w:b w:val="0"/>
          <w:sz w:val="24"/>
        </w:rPr>
        <w:t>[2] 黄正文课题组. 叙事引擎：纪实小说云驱动的案例方法[M]. 成都大学, 2026.</w:t>
      </w:r>
    </w:p>
    <w:p>
      <w:pPr>
        <w:ind w:firstLine="357"/>
      </w:pPr>
      <w:r>
        <w:rPr>
          <w:rFonts w:ascii="Times New Roman" w:hAnsi="Times New Roman" w:eastAsia="宋体"/>
          <w:b w:val="0"/>
          <w:sz w:val="24"/>
        </w:rPr>
        <w:t>[3] Morville P, Rosenfeld L. Information architecture for the World Wide Web[M]. 4th ed. O'Reilly Media, 2015.</w:t>
      </w:r>
    </w:p>
    <w:p>
      <w:pPr>
        <w:ind w:firstLine="357"/>
      </w:pPr>
      <w:r>
        <w:rPr>
          <w:rFonts w:ascii="Times New Roman" w:hAnsi="Times New Roman" w:eastAsia="宋体"/>
          <w:b w:val="0"/>
          <w:sz w:val="24"/>
        </w:rPr>
        <w:t>[4] Duckett J. HTML &amp; CSS[M]. Wiley, 2011.</w:t>
      </w:r>
    </w:p>
    <w:p>
      <w:pPr>
        <w:ind w:firstLine="357"/>
      </w:pPr>
      <w:r>
        <w:rPr>
          <w:rFonts w:ascii="Times New Roman" w:hAnsi="Times New Roman" w:eastAsia="宋体"/>
          <w:b w:val="0"/>
          <w:sz w:val="24"/>
        </w:rPr>
        <w:t>[5] Marcotte E. Responsive web design[M]. A Book Apart, 2011.</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 | </w:t>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