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固废课程三轨制结课产出作品集展示页的设计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Ch8 §8.8</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本设计依托</w:t>
      </w:r>
      <w:r>
        <w:rPr>
          <w:rFonts w:ascii="Times New Roman" w:hAnsi="Times New Roman" w:eastAsia="宋体"/>
          <w:b/>
          <w:sz w:val="24"/>
        </w:rPr>
        <w:t>专著第8 §8.8章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5. 使用现代工具</w:t>
            </w:r>
          </w:p>
        </w:tc>
        <w:tc>
          <w:tcPr>
            <w:tcW w:type="dxa" w:w="3120"/>
          </w:tcPr>
          <w:p>
            <w:r/>
            <w:r>
              <w:rPr>
                <w:rFonts w:ascii="Times New Roman" w:hAnsi="Times New Roman" w:eastAsia="宋体"/>
                <w:b w:val="0"/>
                <w:sz w:val="20"/>
              </w:rPr>
              <w:t>运用HTML/CSS/JS开发作品集展示系统</w:t>
            </w:r>
          </w:p>
        </w:tc>
        <w:tc>
          <w:tcPr>
            <w:tcW w:type="dxa" w:w="3120"/>
          </w:tcPr>
          <w:p>
            <w:r/>
            <w:r>
              <w:rPr>
                <w:rFonts w:ascii="Times New Roman" w:hAnsi="Times New Roman" w:eastAsia="宋体"/>
                <w:b w:val="0"/>
                <w:sz w:val="20"/>
              </w:rPr>
              <w:t>前端编码</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以作品集形式呈现工程教育多元产出成果</w:t>
            </w:r>
          </w:p>
        </w:tc>
        <w:tc>
          <w:tcPr>
            <w:tcW w:type="dxa" w:w="3120"/>
          </w:tcPr>
          <w:p>
            <w:r/>
            <w:r>
              <w:rPr>
                <w:rFonts w:ascii="Times New Roman" w:hAnsi="Times New Roman" w:eastAsia="宋体"/>
                <w:b w:val="0"/>
                <w:sz w:val="20"/>
              </w:rPr>
              <w:t>信息展示设计</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系统整理和分类三轨制产出的类型与特征</w:t>
            </w:r>
          </w:p>
        </w:tc>
        <w:tc>
          <w:tcPr>
            <w:tcW w:type="dxa" w:w="3120"/>
          </w:tcPr>
          <w:p>
            <w:r/>
            <w:r>
              <w:rPr>
                <w:rFonts w:ascii="Times New Roman" w:hAnsi="Times New Roman" w:eastAsia="宋体"/>
                <w:b w:val="0"/>
                <w:sz w:val="20"/>
              </w:rPr>
              <w:t>产出分类整理</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作品集设计原则 → 教育产出展示 → 固废课程三轨制（学术论文/工程方案/咨询报告）概述</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本设计聚焦三轨制作品集展示页，拟回答/完成以下问题/任务：</w:t>
      </w:r>
    </w:p>
    <w:p>
      <w:pPr>
        <w:ind w:firstLine="357"/>
      </w:pPr>
      <w:r>
        <w:rPr>
          <w:rFonts w:ascii="Times New Roman" w:hAnsi="Times New Roman" w:eastAsia="宋体"/>
          <w:b w:val="0"/>
          <w:sz w:val="24"/>
        </w:rPr>
        <w:t>1. 完成"三轨制作品集展示页"的完整交互式可视化设计</w:t>
      </w:r>
    </w:p>
    <w:p>
      <w:pPr>
        <w:ind w:firstLine="357"/>
      </w:pPr>
      <w:r>
        <w:rPr>
          <w:rFonts w:ascii="Times New Roman" w:hAnsi="Times New Roman" w:eastAsia="宋体"/>
          <w:b w:val="0"/>
          <w:sz w:val="24"/>
        </w:rPr>
        <w:t>2. 实现核心交互功能（分类筛选）</w:t>
      </w:r>
    </w:p>
    <w:p>
      <w:pPr>
        <w:ind w:firstLine="357"/>
      </w:pPr>
      <w:r>
        <w:rPr>
          <w:rFonts w:ascii="Times New Roman" w:hAnsi="Times New Roman" w:eastAsia="宋体"/>
          <w:b w:val="0"/>
          <w:sz w:val="24"/>
        </w:rPr>
        <w:t>3. 确保页面与现有固废课程门户的视觉风格一致</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HTML + CSS + JavaScript（分类筛选展示）</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专著章节 Ch8 §8.8 中的内容数据</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整理三轨制产出样例 → 设计分类展示 → 实现筛选/展开交互 → 适配多语种 → 测试优化</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独立整理三轨制产出样例数据、独立设计展示交互逻辑、独立完成前端编码</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选题+产出样例整理</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分类方案+原型</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HTML/CSS/JS编码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展示测试+优化</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说明文档+定稿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八周实践：教学全程实录[M]. 成都大学, 2026.</w:t>
      </w:r>
    </w:p>
    <w:p>
      <w:pPr>
        <w:ind w:firstLine="357"/>
      </w:pPr>
      <w:r>
        <w:rPr>
          <w:rFonts w:ascii="Times New Roman" w:hAnsi="Times New Roman" w:eastAsia="宋体"/>
          <w:b w:val="0"/>
          <w:sz w:val="24"/>
        </w:rPr>
        <w:t>[2] Lidwell W, Holden K, Butler J. Universal principles of design[M]. Rockport Publishers, 2010.</w:t>
      </w:r>
    </w:p>
    <w:p>
      <w:pPr>
        <w:ind w:firstLine="357"/>
      </w:pPr>
      <w:r>
        <w:rPr>
          <w:rFonts w:ascii="Times New Roman" w:hAnsi="Times New Roman" w:eastAsia="宋体"/>
          <w:b w:val="0"/>
          <w:sz w:val="24"/>
        </w:rPr>
        <w:t>[3] Duckett J. HTML &amp; CSS[M]. Wiley, 2011.</w:t>
      </w:r>
    </w:p>
    <w:p>
      <w:pPr>
        <w:ind w:firstLine="357"/>
      </w:pPr>
      <w:r>
        <w:rPr>
          <w:rFonts w:ascii="Times New Roman" w:hAnsi="Times New Roman" w:eastAsia="宋体"/>
          <w:b w:val="0"/>
          <w:sz w:val="24"/>
        </w:rPr>
        <w:t>[4] Marcotte E. Responsive web design[M]. A Book Apart, 2011.</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