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环境工程专业固废课程中纪实小说辅助学习的认知体验初探</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在此背景下，本论文以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认知学习理论（Bruner叙事认知/Mezirow转化学习/Kolb体验学习）→ 纪实文学在教育中的应用研究 → NFSC教学法体系概述</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本论文聚焦纪实小说辅助学习的认知体验，拟回答/完成以下问题/任务：</w:t>
      </w:r>
    </w:p>
    <w:p>
      <w:pPr>
        <w:ind w:firstLine="357"/>
      </w:pPr>
      <w:r>
        <w:rPr>
          <w:rFonts w:ascii="Times New Roman" w:hAnsi="Times New Roman" w:eastAsia="宋体"/>
          <w:b w:val="0"/>
          <w:sz w:val="24"/>
        </w:rPr>
        <w:t>1. 纪实小说辅助学习的认知体验在固废课程学习者的认知过程中扮演了什么角色？</w:t>
      </w:r>
    </w:p>
    <w:p>
      <w:pPr>
        <w:ind w:firstLine="357"/>
      </w:pPr>
      <w:r>
        <w:rPr>
          <w:rFonts w:ascii="Times New Roman" w:hAnsi="Times New Roman" w:eastAsia="宋体"/>
          <w:b w:val="0"/>
          <w:sz w:val="24"/>
        </w:rPr>
        <w:t>2. 学习者的主观体验与客观学习行为之间存在怎样的关系？</w:t>
      </w:r>
    </w:p>
    <w:p>
      <w:pPr>
        <w:ind w:firstLine="357"/>
      </w:pPr>
      <w:r>
        <w:rPr>
          <w:rFonts w:ascii="Times New Roman" w:hAnsi="Times New Roman" w:eastAsia="宋体"/>
          <w:b w:val="0"/>
          <w:sz w:val="24"/>
        </w:rPr>
        <w:t>3. 基于研究发现，对纪实小说辅助固废教学有何改进建议？</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质性研究（自我民族志 + 半结构化访谈）</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自我学习日志（8周记录）+ 5-8名同学半结构化访谈录音</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NVivo / 手工编码</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设计访谈提纲 → 实施访谈 → 主题编码 → 撰写反思</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文献检索（10篇）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设计访谈提纲 + 开始自我学习日志回顾</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实施5-8人访谈 + 转录</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主题编码分析</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撰写论文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毕业要求支撑矩阵</w:t>
      </w:r>
    </w:p>
    <w:p>
      <w:r>
        <w:rPr>
          <w:rFonts w:ascii="Times New Roman" w:hAnsi="Times New Roman" w:eastAsia="宋体"/>
          <w:b w:val="0"/>
          <w:sz w:val="24"/>
        </w:rPr>
        <w:t>（本选题与《工程教育认证标准》12条毕业要求的对应关系）</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运用质性研究方法（自我民族志+访谈）对工程教育现象进行科学分析</w:t>
            </w:r>
          </w:p>
        </w:tc>
        <w:tc>
          <w:tcPr>
            <w:tcW w:type="dxa" w:w="3120"/>
          </w:tcPr>
          <w:p>
            <w:r/>
            <w:r>
              <w:rPr>
                <w:rFonts w:ascii="Times New Roman" w:hAnsi="Times New Roman" w:eastAsia="宋体"/>
                <w:b w:val="0"/>
                <w:sz w:val="20"/>
              </w:rPr>
              <w:t>编码分析</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撰写反思性研究报告，有效传达学习者视角的发现</w:t>
            </w:r>
          </w:p>
        </w:tc>
        <w:tc>
          <w:tcPr>
            <w:tcW w:type="dxa" w:w="3120"/>
          </w:tcPr>
          <w:p>
            <w:r/>
            <w:r>
              <w:rPr>
                <w:rFonts w:ascii="Times New Roman" w:hAnsi="Times New Roman" w:eastAsia="宋体"/>
                <w:b w:val="0"/>
                <w:sz w:val="20"/>
              </w:rPr>
              <w:t>论文写作</w:t>
            </w:r>
          </w:p>
        </w:tc>
      </w:tr>
      <w:tr>
        <w:tc>
          <w:tcPr>
            <w:tcW w:type="dxa" w:w="3120"/>
          </w:tcPr>
          <w:p>
            <w:r/>
            <w:r>
              <w:rPr>
                <w:rFonts w:ascii="Times New Roman" w:hAnsi="Times New Roman" w:eastAsia="宋体"/>
                <w:b w:val="0"/>
                <w:sz w:val="20"/>
              </w:rPr>
              <w:t>2. 问题分析</w:t>
            </w:r>
          </w:p>
        </w:tc>
        <w:tc>
          <w:tcPr>
            <w:tcW w:type="dxa" w:w="3120"/>
          </w:tcPr>
          <w:p>
            <w:r/>
            <w:r>
              <w:rPr>
                <w:rFonts w:ascii="Times New Roman" w:hAnsi="Times New Roman" w:eastAsia="宋体"/>
                <w:b w:val="0"/>
                <w:sz w:val="20"/>
              </w:rPr>
              <w:t>识别并表达固废课程学习中叙事素材辅助认知的关键问题</w:t>
            </w:r>
          </w:p>
        </w:tc>
        <w:tc>
          <w:tcPr>
            <w:tcW w:type="dxa" w:w="3120"/>
          </w:tcPr>
          <w:p>
            <w:r/>
            <w:r>
              <w:rPr>
                <w:rFonts w:ascii="Times New Roman" w:hAnsi="Times New Roman" w:eastAsia="宋体"/>
                <w:b w:val="0"/>
                <w:sz w:val="20"/>
              </w:rPr>
              <w:t>问题识别与表达</w:t>
            </w:r>
          </w:p>
        </w:tc>
      </w:tr>
    </w:tbl>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陈向明. 质的研究方法与社会科学研究[M]. 教育科学出版社, 2000.</w:t>
      </w:r>
    </w:p>
    <w:p>
      <w:pPr>
        <w:ind w:firstLine="357"/>
      </w:pPr>
      <w:r>
        <w:rPr>
          <w:rFonts w:ascii="Times New Roman" w:hAnsi="Times New Roman" w:eastAsia="宋体"/>
          <w:b w:val="0"/>
          <w:sz w:val="24"/>
        </w:rPr>
        <w:t>[2] Ellis C, Adams T E, Bochner A P. Autoethnography: an overview[J]. Forum Qualitative Sozialforschung, 2011, 12(1).</w:t>
      </w:r>
    </w:p>
    <w:p>
      <w:pPr>
        <w:ind w:firstLine="357"/>
      </w:pPr>
      <w:r>
        <w:rPr>
          <w:rFonts w:ascii="Times New Roman" w:hAnsi="Times New Roman" w:eastAsia="宋体"/>
          <w:b w:val="0"/>
          <w:sz w:val="24"/>
        </w:rPr>
        <w:t>[3] Bruner J. The narrative construction of reality[J]. Critical Inquiry, 1991, 18(1): 1-21.</w:t>
      </w:r>
    </w:p>
    <w:p>
      <w:pPr>
        <w:ind w:firstLine="357"/>
      </w:pPr>
      <w:r>
        <w:rPr>
          <w:rFonts w:ascii="Times New Roman" w:hAnsi="Times New Roman" w:eastAsia="宋体"/>
          <w:b w:val="0"/>
          <w:sz w:val="24"/>
        </w:rPr>
        <w:t>[4] 点暇斋. 网络普惠教育——龙栖湾[M]. QQ阅读/17K, 2023.</w:t>
      </w:r>
    </w:p>
    <w:p>
      <w:pPr>
        <w:ind w:firstLine="357"/>
      </w:pPr>
      <w:r>
        <w:rPr>
          <w:rFonts w:ascii="Times New Roman" w:hAnsi="Times New Roman" w:eastAsia="宋体"/>
          <w:b w:val="0"/>
          <w:sz w:val="24"/>
        </w:rPr>
        <w:t>[5] 点暇斋. 网络普惠教育——青龙湖[M]. QQ阅读/17K, 2023.</w:t>
      </w:r>
    </w:p>
    <w:p>
      <w:pPr>
        <w:ind w:firstLine="357"/>
      </w:pPr>
      <w:r>
        <w:rPr>
          <w:rFonts w:ascii="Times New Roman" w:hAnsi="Times New Roman" w:eastAsia="宋体"/>
          <w:b w:val="0"/>
          <w:sz w:val="24"/>
        </w:rPr>
        <w:t>[6] 点暇斋. 网络普惠教育——杨柳坝与刘家湾[M]. QQ阅读/17K, 2024.</w:t>
      </w:r>
    </w:p>
    <w:p>
      <w:pPr>
        <w:ind w:firstLine="357"/>
      </w:pPr>
      <w:r>
        <w:rPr>
          <w:rFonts w:ascii="Times New Roman" w:hAnsi="Times New Roman" w:eastAsia="宋体"/>
          <w:b w:val="0"/>
          <w:sz w:val="24"/>
        </w:rPr>
        <w:t>[7] 点暇斋. 网络普惠教育——三多里巷[M]. QQ阅读/17K, 2024.</w:t>
      </w:r>
    </w:p>
    <w:p>
      <w:pPr>
        <w:ind w:firstLine="357"/>
      </w:pPr>
      <w:r>
        <w:rPr>
          <w:rFonts w:ascii="Times New Roman" w:hAnsi="Times New Roman" w:eastAsia="宋体"/>
          <w:b w:val="0"/>
          <w:sz w:val="24"/>
        </w:rPr>
        <w:t>[8] 黄正文课题组. NFSC（叙·框·境·创）四维教学法概述[Z]. 成都大学, 2024.</w:t>
      </w:r>
    </w:p>
    <w:p>
      <w:pPr>
        <w:ind w:firstLine="357"/>
      </w:pPr>
      <w:r>
        <w:rPr>
          <w:rFonts w:ascii="Times New Roman" w:hAnsi="Times New Roman" w:eastAsia="宋体"/>
          <w:b w:val="0"/>
          <w:sz w:val="24"/>
        </w:rPr>
        <w:t>[9] Mezirow J. Transformative dimensions of adult learning[M]. Jossey-Bass, 1991.</w:t>
      </w:r>
    </w:p>
    <w:p>
      <w:pPr>
        <w:ind w:firstLine="357"/>
      </w:pPr>
      <w:r>
        <w:rPr>
          <w:rFonts w:ascii="Times New Roman" w:hAnsi="Times New Roman" w:eastAsia="宋体"/>
          <w:b w:val="0"/>
          <w:sz w:val="24"/>
        </w:rPr>
        <w:t>[10] Kolb D A. Experiential learning: Experience as the source of learning and development[M]. Prentice-Hall, 1984.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