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Cross-Disciplinary Teaching in Vocational Colleges: A Self-Directed Model for Teacher Professional Growth</w:t>
      </w:r>
    </w:p>
    <w:p/>
    <w:p>
      <w:pPr>
        <w:spacing w:line="360" w:lineRule="auto" w:after="120"/>
      </w:pPr>
      <w:r>
        <w:rPr>
          <w:rFonts w:ascii="Times New Roman" w:hAnsi="Times New Roman"/>
          <w:sz w:val="24"/>
        </w:rPr>
        <w:t>Vocational education systems across the developing world confront a structural bind: specialist teacher shortages collide with rapid curricular expansion, pushing instructors into subjects well outside their training. This longitudinal case study tracks a vocational college teacher—Teacher Z (a pseudonym)—across more than a decade of professional development in unmanned aerial vehicle (UAV) technology, a discipline in which he holds no formal qualification. We concentrate on the four years from 2021 to 2025, when a self-directed learning model—the Narrative-Framework-Scene-Creation (NFSC) methodology paired with a multi-agent software system—carried him from novice to research-active programme leader. Teacher Z built 10 UAV courses, secured three funded research projects in 2025, and obtained copyright registration for his teaching system. All of this happened at zero additional institutional cost. Teaching journals spanning 2021–2025, system usage logs, and verifiable institutional outputs trace three developmental pathways: cross-disciplinary knowledge domain mapping, progressive curriculum design sequenced by difficulty, and the integration of teaching practice with scholarly output. Three auxiliary cases—an environmental-engineering-to-smart-emergency transition, an environmental-engineering-to-smart-human-settlements transition, and a 60-year-old retired engineer's self-taught mastery of traditional Chinese flute music—supply preliminary evidence that the model travels across disciplines and life stages. The paper argues this zero-cost, self-directable approach carries real weight for teacher-training policy in developing economies, with the most immediate relevance falling within BRICS and South-South cooperation frameworks. The model is a bridge: it does not replace formal teacher education but reaches settings where such training remains inaccessible.</w:t>
      </w:r>
    </w:p>
    <w:p>
      <w:pPr>
        <w:spacing w:after="240"/>
      </w:pPr>
      <w:r>
        <w:rPr>
          <w:rFonts w:ascii="Times New Roman" w:hAnsi="Times New Roman"/>
          <w:sz w:val="24"/>
        </w:rPr>
        <w:t>Keywords: cross-disciplinary teaching; self-directed professional development; vocational education; technology-assisted learning; teacher professional growth; scarce-resource contexts; BRICS education cooperation</w:t>
      </w:r>
    </w:p>
    <w:p>
      <w:pPr>
        <w:spacing w:line="360" w:lineRule="auto" w:before="240" w:after="120"/>
      </w:pPr>
      <w:r>
        <w:rPr>
          <w:rFonts w:ascii="Times New Roman" w:hAnsi="Times New Roman"/>
          <w:b/>
          <w:sz w:val="24"/>
        </w:rPr>
        <w:t>§1 Introduction</w:t>
      </w:r>
    </w:p>
    <w:p>
      <w:pPr>
        <w:spacing w:line="360" w:lineRule="auto" w:after="120"/>
      </w:pPr>
      <w:r>
        <w:rPr>
          <w:rFonts w:ascii="Times New Roman" w:hAnsi="Times New Roman"/>
          <w:sz w:val="24"/>
        </w:rPr>
        <w:t>Enrolment in vocational education has surged worldwide. The supply of specialist teachers has not kept pace. Institutions respond the only way they can: they reassign existing faculty to teach subjects outside their disciplinary training. This is not a matter of isolated staffing decisions but a structural consequence of policy-driven expansion, as OECD (2022) figures make plain. Skill mismatches in vocational teaching have been identified as a binding constraint on education quality across middle-income countries (ILO, 2021), where industrial upgrading creates demand for new curricula faster than teacher education systems can produce qualified instructors.</w:t>
      </w:r>
    </w:p>
    <w:p>
      <w:pPr>
        <w:spacing w:line="360" w:lineRule="auto" w:after="120"/>
      </w:pPr>
      <w:r>
        <w:rPr>
          <w:rFonts w:ascii="Times New Roman" w:hAnsi="Times New Roman"/>
          <w:sz w:val="24"/>
        </w:rPr>
        <w:t>China throws the problem into sharp relief. The 2019 *National Vocational Education Reform Implementation Plan* pushed vocational college enrolments up by more than 30 per cent inside five years (State Council, 2019). New programmes in artificial intelligence, renewable energy, and drone technology sprouted across the system. There was no established pipeline of qualified teachers for these fields (Koo, 2016). Colleges reassigned existing faculty—instructors trained in land management, environmental science, mechanical engineering—to lead programmes in which they had zero formal qualification. These reassigned teachers shoulder a double weight: they must acquire a new disciplinary knowledge base while sustaining teaching quality in programmes that lead to professional certification.</w:t>
      </w:r>
    </w:p>
    <w:p>
      <w:pPr>
        <w:spacing w:line="360" w:lineRule="auto" w:after="120"/>
      </w:pPr>
      <w:r>
        <w:rPr>
          <w:rFonts w:ascii="Times New Roman" w:hAnsi="Times New Roman"/>
          <w:sz w:val="24"/>
        </w:rPr>
        <w:t>Standard professional development pathways offer little to these teachers. Off-site training programmes are costly and logistically impossible to scale (Desimone, 2009). Returning to university for a second degree demands time and money that working teachers in under-resourced institutions simply do not have (Darling-Hammond et al., 2017). School-based research groups—a fixture of Chinese teacher culture—presuppose disciplinary homogeneity and provide scant support to the lone cross-disciplinary teacher stranded in a department of specialists (Cochran-Smith &amp; Lytle, 2001). The upshot is that thousands of vocational teachers bridge cross-disciplinary gaps on their own, with no institutional scaffolding and almost no scholarly attention.</w:t>
      </w:r>
    </w:p>
    <w:p>
      <w:pPr>
        <w:spacing w:line="360" w:lineRule="auto" w:after="120"/>
      </w:pPr>
      <w:r>
        <w:rPr>
          <w:rFonts w:ascii="Times New Roman" w:hAnsi="Times New Roman"/>
          <w:sz w:val="24"/>
        </w:rPr>
        <w:t>Self-directed learning theory offers a conceptual starting point. Knowles (1975) foregrounded the learner's initiative in diagnosing needs, setting goals, and marshalling resources; Brookfield (1986) added the social context and the role of critical reflection. Couple these frameworks with contemporary information technologies—always-on knowledge scaffolds—and a teacher might, in principle, construct competence in a new discipline without formal training. Whether the principle holds in the messy reality of cross-disciplinary vocational classrooms is another question, and one that the literature has largely left unanswered.</w:t>
      </w:r>
    </w:p>
    <w:p>
      <w:pPr>
        <w:spacing w:line="360" w:lineRule="auto" w:after="120"/>
      </w:pPr>
      <w:r>
        <w:rPr>
          <w:rFonts w:ascii="Times New Roman" w:hAnsi="Times New Roman"/>
          <w:sz w:val="24"/>
        </w:rPr>
        <w:t>We report a longitudinal case study of Teacher Z, an instructor at [University A] in China. His UAV practice trajectory stretches back to his undergraduate years—over a decade of convergent engagement—but our analytical lens tightens on the period from 2021 to 2025. During these four years, a self-directed, technology-assisted model enabled his transition to full teaching competence. Teacher Z's formal qualifications are in land resource management (BSc) and environmental engineering (MSc). He had no UAV training. Since 2021, he has built a complete UAV programme, won three funded research projects in 2025, and registered intellectual property for his teaching system. He did this through the Narrative-Framework-Scene-Creation (NFSC) approach, supported by a multi-agent software system deployed at zero additional cost.</w:t>
      </w:r>
    </w:p>
    <w:p>
      <w:pPr>
        <w:spacing w:line="360" w:lineRule="auto" w:after="120"/>
      </w:pPr>
      <w:r>
        <w:rPr>
          <w:rFonts w:ascii="Times New Roman" w:hAnsi="Times New Roman"/>
          <w:sz w:val="24"/>
        </w:rPr>
        <w:t>We ask two questions:</w:t>
      </w:r>
    </w:p>
    <w:p>
      <w:pPr>
        <w:spacing w:line="360" w:lineRule="auto" w:after="120"/>
      </w:pPr>
      <w:r>
        <w:rPr>
          <w:rFonts w:ascii="Times New Roman" w:hAnsi="Times New Roman"/>
          <w:sz w:val="24"/>
        </w:rPr>
        <w:t>- **RQ1:** How does a self-directed, technology-assisted learning model support the development of cross-disciplinary teaching competence in a vocational college?</w:t>
      </w:r>
    </w:p>
    <w:p>
      <w:pPr>
        <w:spacing w:line="360" w:lineRule="auto" w:after="120"/>
      </w:pPr>
      <w:r>
        <w:rPr>
          <w:rFonts w:ascii="Times New Roman" w:hAnsi="Times New Roman"/>
          <w:sz w:val="24"/>
        </w:rPr>
        <w:t>- **RQ2:** What conditions allow this model to transfer across disciplines and institutional contexts?</w:t>
      </w:r>
    </w:p>
    <w:p>
      <w:pPr>
        <w:spacing w:line="360" w:lineRule="auto" w:after="120"/>
      </w:pPr>
      <w:r>
        <w:rPr>
          <w:rFonts w:ascii="Times New Roman" w:hAnsi="Times New Roman"/>
          <w:sz w:val="24"/>
        </w:rPr>
        <w:t>Section 2 reviews work on cross-disciplinary teaching, self-directed teacher learning, and technology-supported professional development. Section 3 lays out the longitudinal case study design. Section 4 traces findings across three developmental phases. Section 5 discusses these against the research questions and draws out policy implications for developing-country contexts, with attention to the South African developmental state and BRICS cooperation frameworks. Section 6 concludes.</w:t>
      </w:r>
    </w:p>
    <w:p>
      <w:pPr>
        <w:spacing w:line="360" w:lineRule="auto" w:before="240" w:after="120"/>
      </w:pPr>
      <w:r>
        <w:rPr>
          <w:rFonts w:ascii="Times New Roman" w:hAnsi="Times New Roman"/>
          <w:b/>
          <w:sz w:val="24"/>
        </w:rPr>
        <w:t>§2 Literature Review</w:t>
      </w:r>
    </w:p>
    <w:p>
      <w:pPr>
        <w:spacing w:line="360" w:lineRule="auto" w:before="120"/>
      </w:pPr>
      <w:r>
        <w:rPr>
          <w:rFonts w:ascii="Times New Roman" w:hAnsi="Times New Roman"/>
          <w:b/>
          <w:i/>
          <w:sz w:val="24"/>
        </w:rPr>
        <w:t>2.1 Cross-Disciplinary Teaching in Vocational Education</w:t>
      </w:r>
    </w:p>
    <w:p>
      <w:pPr>
        <w:spacing w:line="360" w:lineRule="auto" w:after="120"/>
      </w:pPr>
      <w:r>
        <w:rPr>
          <w:rFonts w:ascii="Times New Roman" w:hAnsi="Times New Roman"/>
          <w:sz w:val="24"/>
        </w:rPr>
        <w:t>Assigning teachers to subjects outside their qualification area—termed out-of-field teaching—is a structural feature of education systems under fiscal and human-resource pressure (Ingersoll, 2003). In vocational education the phenomenon intensifies, because the sector must align curricula with labour market demands that shift faster than teacher supply chains can adjust (Billett, 2002). A new technology enters industrial practice; a college launches a corresponding programme; qualified instructors do not yet exist. Faculty are reassigned across disciplinary boundaries by institutional necessity rather than pedagogical design.</w:t>
      </w:r>
    </w:p>
    <w:p>
      <w:pPr>
        <w:spacing w:line="360" w:lineRule="auto" w:after="120"/>
      </w:pPr>
      <w:r>
        <w:rPr>
          <w:rFonts w:ascii="Times New Roman" w:hAnsi="Times New Roman"/>
          <w:sz w:val="24"/>
        </w:rPr>
        <w:t>Akkerman and Bakker's (2011) boundary-crossing framework supplies a productive analytic lens. Boundary crossing describes how individuals navigate discontinuities between social or cultural practices—here, between the knowledge domain of a teacher's original discipline and that of the new teaching field. They identify four learning mechanisms activated at boundaries: identification (recognising the boundary exists), coordination (building procedures to bridge it), reflection (generating new perspectives), and transformation (producing integrated practices that draw from both domains). For a cross-disciplinary vocational teacher, professional growth demands progress through all four.</w:t>
      </w:r>
    </w:p>
    <w:p>
      <w:pPr>
        <w:spacing w:line="360" w:lineRule="auto" w:after="120"/>
      </w:pPr>
      <w:r>
        <w:rPr>
          <w:rFonts w:ascii="Times New Roman" w:hAnsi="Times New Roman"/>
          <w:sz w:val="24"/>
        </w:rPr>
        <w:t>Vocational education adds a layer of complexity absent from school-level subject reassignment. Cross-disciplinary vocational transitions involve content knowledge, certainly, but also the procedural, equipment-based, and industry-standard practices embedded in technical disciplines (Eraut, 2004). A teacher moving from environmental engineering to drone technology must absorb aerodynamics, radio communication, remote sensing, image processing, and civil aviation regulations—each a distinct knowledge domain with its own conceptual architecture.</w:t>
      </w:r>
    </w:p>
    <w:p>
      <w:pPr>
        <w:spacing w:line="360" w:lineRule="auto" w:before="120"/>
      </w:pPr>
      <w:r>
        <w:rPr>
          <w:rFonts w:ascii="Times New Roman" w:hAnsi="Times New Roman"/>
          <w:b/>
          <w:i/>
          <w:sz w:val="24"/>
        </w:rPr>
        <w:t>2.2 Self-Directed Teacher Learning</w:t>
      </w:r>
    </w:p>
    <w:p>
      <w:pPr>
        <w:spacing w:line="360" w:lineRule="auto" w:after="120"/>
      </w:pPr>
      <w:r>
        <w:rPr>
          <w:rFonts w:ascii="Times New Roman" w:hAnsi="Times New Roman"/>
          <w:sz w:val="24"/>
        </w:rPr>
        <w:t>Knowles (1975) defined self-directed learning as a process in which individuals take the initiative—with or without help—in diagnosing their learning needs, formulating goals, identifying resources, selecting strategies, and evaluating outcomes. Brookfield (1986) deepened the framework by stressing the social embeddedness of self-direction and the centrality of critical reflection in adult learning.</w:t>
      </w:r>
    </w:p>
    <w:p>
      <w:pPr>
        <w:spacing w:line="360" w:lineRule="auto" w:after="120"/>
      </w:pPr>
      <w:r>
        <w:rPr>
          <w:rFonts w:ascii="Times New Roman" w:hAnsi="Times New Roman"/>
          <w:sz w:val="24"/>
        </w:rPr>
        <w:t>Within teacher education, self-directed learning has mainly been studied as a supplement to formal professional development, not as a primary mechanism for building qualification-level knowledge (Avalos, 2011). Verster et al. (2024), writing in this journal, showed that self-directed professional development, when structured as a deliberate intervention, sharpens teachers' curriculum practice. Their South African study found that teachers who undertook self-directed learning with structured reflection improved their capacity to translate curriculum policy into classroom action. The finding is telling: self-direction works, but structure matters. Self-directed does not mean unguided.</w:t>
      </w:r>
    </w:p>
    <w:p>
      <w:pPr>
        <w:spacing w:line="360" w:lineRule="auto" w:after="120"/>
      </w:pPr>
      <w:r>
        <w:rPr>
          <w:rFonts w:ascii="Times New Roman" w:hAnsi="Times New Roman"/>
          <w:sz w:val="24"/>
        </w:rPr>
        <w:t>Workplace learning theory adds a complementary perspective. Eraut (2004) distinguishes formal learning (planned, structured, credentialised) from informal learning (embedded in work activity, often tacit). For cross-disciplinary teachers, most learning happens in the informal mode—during lesson preparation, equipment troubleshooting, student questioning. Billett (2002) argues that workplace learning succeeds when the environment supplies appropriate guidance: access to knowledgeable colleagues, authentic tasks of graduated difficulty, direct feedback. The catch for the cross-disciplinary vocational teacher is that the workplace lacks precisely these affordances. There are no knowledgeable colleagues in the new discipline. The task—teaching full courses—is inappropriately demanding for a novice.</w:t>
      </w:r>
    </w:p>
    <w:p>
      <w:pPr>
        <w:spacing w:line="360" w:lineRule="auto" w:before="120"/>
      </w:pPr>
      <w:r>
        <w:rPr>
          <w:rFonts w:ascii="Times New Roman" w:hAnsi="Times New Roman"/>
          <w:b/>
          <w:i/>
          <w:sz w:val="24"/>
        </w:rPr>
        <w:t>2.3 Technology-Supported Professional Development</w:t>
      </w:r>
    </w:p>
    <w:p>
      <w:pPr>
        <w:spacing w:line="360" w:lineRule="auto" w:after="120"/>
      </w:pPr>
      <w:r>
        <w:rPr>
          <w:rFonts w:ascii="Times New Roman" w:hAnsi="Times New Roman"/>
          <w:sz w:val="24"/>
        </w:rPr>
        <w:t>Research at the intersection of technology and teacher professional development is substantial but patchy. Clarke and Hollingsworth (2002) established that effective professional development needs sustained engagement, connection to practice, and a reflective component—qualities that well-designed technology platforms can support. More recently, Naidoo (2026), also in this journal, assessed ICT integration in South African private secondary schools and found that infrastructure alone does not lift teaching outcomes. The decisive factor was alignment of technology use with teachers' identified professional needs.</w:t>
      </w:r>
    </w:p>
    <w:p>
      <w:pPr>
        <w:spacing w:line="360" w:lineRule="auto" w:after="120"/>
      </w:pPr>
      <w:r>
        <w:rPr>
          <w:rFonts w:ascii="Times New Roman" w:hAnsi="Times New Roman"/>
          <w:sz w:val="24"/>
        </w:rPr>
        <w:t>Rasool and Naidoo (2024) examined ICT sustainability in previously disadvantaged South African public schools. Cost, maintenance, and ongoing technical support emerged as persistent barriers. Their work crystallises a design principle for technology-assisted teacher development in resource-constrained settings: the solution must cost nothing at the point of use and demand no specialised technical support for day-to-day operation. This principle shaped the architecture of the support system used in this study.</w:t>
      </w:r>
    </w:p>
    <w:p>
      <w:pPr>
        <w:spacing w:line="360" w:lineRule="auto" w:before="120"/>
      </w:pPr>
      <w:r>
        <w:rPr>
          <w:rFonts w:ascii="Times New Roman" w:hAnsi="Times New Roman"/>
          <w:b/>
          <w:i/>
          <w:sz w:val="24"/>
        </w:rPr>
        <w:t>2.4 Research Gap</w:t>
      </w:r>
    </w:p>
    <w:p>
      <w:pPr>
        <w:spacing w:line="360" w:lineRule="auto" w:after="120"/>
      </w:pPr>
      <w:r>
        <w:rPr>
          <w:rFonts w:ascii="Times New Roman" w:hAnsi="Times New Roman"/>
          <w:sz w:val="24"/>
        </w:rPr>
        <w:t>A gap sits at the intersection of these three literatures. Cross-disciplinary teaching research has concentrated on school-level subject reassignment, leaving the more demanding vocational context largely unexamined. Self-directed learning research has addressed teacher professional development but has not tackled the extreme case—building qualification-free mastery of a new subject. Technology-supported professional development research has focused on formal programmes with institutional infrastructure. No study has traced a teacher's arc from zero formal qualification in a discipline to research-active programme leader in that discipline through self-directed, technology-assisted study. We address that gap.</w:t>
      </w:r>
    </w:p>
    <w:p>
      <w:pPr>
        <w:spacing w:line="360" w:lineRule="auto" w:before="240" w:after="120"/>
      </w:pPr>
      <w:r>
        <w:rPr>
          <w:rFonts w:ascii="Times New Roman" w:hAnsi="Times New Roman"/>
          <w:b/>
          <w:sz w:val="24"/>
        </w:rPr>
        <w:t>§3 Methodology</w:t>
      </w:r>
    </w:p>
    <w:p>
      <w:pPr>
        <w:spacing w:line="360" w:lineRule="auto" w:before="120"/>
      </w:pPr>
      <w:r>
        <w:rPr>
          <w:rFonts w:ascii="Times New Roman" w:hAnsi="Times New Roman"/>
          <w:b/>
          <w:i/>
          <w:sz w:val="24"/>
        </w:rPr>
        <w:t>3.1 Research Design</w:t>
      </w:r>
    </w:p>
    <w:p>
      <w:pPr>
        <w:spacing w:line="360" w:lineRule="auto" w:after="120"/>
      </w:pPr>
      <w:r>
        <w:rPr>
          <w:rFonts w:ascii="Times New Roman" w:hAnsi="Times New Roman"/>
          <w:sz w:val="24"/>
        </w:rPr>
        <w:t>We adopted a longitudinal single-case design (Yin, 2018). The case study fits a 'how' question about a contemporary phenomenon embedded in its real-world context—here, the blurry boundary between the phenomenon (cross-disciplinary competence development) and its context (an active vocational college). Flyvbjerg (2006) has shown that the single case, far from being merely exploratory, yields generalisable insight when the case is strategically chosen and analytically deep.</w:t>
      </w:r>
    </w:p>
    <w:p>
      <w:pPr>
        <w:spacing w:line="360" w:lineRule="auto" w:before="120"/>
      </w:pPr>
      <w:r>
        <w:rPr>
          <w:rFonts w:ascii="Times New Roman" w:hAnsi="Times New Roman"/>
          <w:b/>
          <w:i/>
          <w:sz w:val="24"/>
        </w:rPr>
        <w:t>3.2 Case Selection</w:t>
      </w:r>
    </w:p>
    <w:p>
      <w:pPr>
        <w:spacing w:line="360" w:lineRule="auto" w:after="120"/>
      </w:pPr>
      <w:r>
        <w:rPr>
          <w:rFonts w:ascii="Times New Roman" w:hAnsi="Times New Roman"/>
          <w:sz w:val="24"/>
        </w:rPr>
        <w:t>We selected Teacher Z against four criteria derived from the research questions. First, **prototypicality of the cross-disciplinary phenomenon**: Teacher Z represents the structural reality of vocational teachers assigned outside their qualification area in China and comparable developing economies—a theoretically informative case, not merely a convenient one. Second, **data completeness**: Teacher Z maintained continuous teaching journals and system usage records from 2021 through 2025, a depth of process data rarely available. Third, **degree of cross-disciplinarity**: the distance between his formal qualifications (land resource management BSc, environmental engineering MSc) and his teaching assignment (10 UAV technology courses) constitutes a substantial gap, making the learning process observable. Fourth, **ecological validity**: all data were generated in an authentic workplace setting with no researcher intervention.</w:t>
      </w:r>
    </w:p>
    <w:p>
      <w:pPr>
        <w:spacing w:line="360" w:lineRule="auto" w:before="120"/>
      </w:pPr>
      <w:r>
        <w:rPr>
          <w:rFonts w:ascii="Times New Roman" w:hAnsi="Times New Roman"/>
          <w:b/>
          <w:i/>
          <w:sz w:val="24"/>
        </w:rPr>
        <w:t>3.3 Data Sources</w:t>
      </w:r>
    </w:p>
    <w:p>
      <w:pPr>
        <w:spacing w:line="360" w:lineRule="auto" w:after="120"/>
      </w:pPr>
      <w:r>
        <w:rPr>
          <w:rFonts w:ascii="Times New Roman" w:hAnsi="Times New Roman"/>
          <w:sz w:val="24"/>
        </w:rPr>
        <w:t>We triangulated data from four sources. **(a) Teaching journals (2021–2025):** Teacher Z kept weekly reflective journals documenting learning activities, teaching problems encountered, solutions developed, and reflections on professional growth. The corpus spans approximately 45,000 Chinese characters across 48 months. **(b) Agent system usage records:** The multi-agent support system logged all user interactions—query types, response patterns, task completion data—from system deployment in mid-2021 through mid-2025. **(c) Institutional outputs:** Three funded research projects obtained in 2025 (one provincial-level, two institutional-level), one copyright registration for teaching materials, and course design documents for 10 courses. **(d) Course design documents:** Syllabi, lesson plans, assessment instruments, and teaching materials for 10 UAV courses developed sequentially between 2022 and 2025.</w:t>
      </w:r>
    </w:p>
    <w:p>
      <w:pPr>
        <w:spacing w:line="360" w:lineRule="auto" w:before="120"/>
      </w:pPr>
      <w:r>
        <w:rPr>
          <w:rFonts w:ascii="Times New Roman" w:hAnsi="Times New Roman"/>
          <w:b/>
          <w:i/>
          <w:sz w:val="24"/>
        </w:rPr>
        <w:t>3.4 Data Analysis</w:t>
      </w:r>
    </w:p>
    <w:p>
      <w:pPr>
        <w:spacing w:line="360" w:lineRule="auto" w:after="120"/>
      </w:pPr>
      <w:r>
        <w:rPr>
          <w:rFonts w:ascii="Times New Roman" w:hAnsi="Times New Roman"/>
          <w:sz w:val="24"/>
        </w:rPr>
        <w:t>Analysis proceeded in three stages. We first applied **timeline coding** to journal and system records to build a chronological map of developmental phases. Events were coded by type—knowledge acquisition, teaching activity, research activity, system interaction—and mapped to monthly time units. We then conducted **thematic analysis** (Braun &amp; Clarke, 2006) on the journal corpus to identify recurring patterns in learning strategies, challenges, and solutions. Themes were generated inductively and cross-referenced with the timeline map. Finally, we performed **evidence triangulation**, matching themes from journals against system usage records and institutional outputs to confirm or disconfirm interpretive claims.</w:t>
      </w:r>
    </w:p>
    <w:p>
      <w:pPr>
        <w:spacing w:line="360" w:lineRule="auto" w:before="120"/>
      </w:pPr>
      <w:r>
        <w:rPr>
          <w:rFonts w:ascii="Times New Roman" w:hAnsi="Times New Roman"/>
          <w:b/>
          <w:i/>
          <w:sz w:val="24"/>
        </w:rPr>
        <w:t>3.5 Ethical Considerations</w:t>
      </w:r>
    </w:p>
    <w:p>
      <w:pPr>
        <w:spacing w:line="360" w:lineRule="auto" w:after="120"/>
      </w:pPr>
      <w:r>
        <w:rPr>
          <w:rFonts w:ascii="Times New Roman" w:hAnsi="Times New Roman"/>
          <w:sz w:val="24"/>
        </w:rPr>
        <w:t>Teacher Z gave informed consent for the research use of all data. We anonymised teacher identity and institutional affiliation throughout. Institutional approval for data use was obtained. The study involved no vulnerable populations and posed minimal risk.</w:t>
      </w:r>
    </w:p>
    <w:p>
      <w:pPr>
        <w:spacing w:line="360" w:lineRule="auto" w:before="120"/>
      </w:pPr>
      <w:r>
        <w:rPr>
          <w:rFonts w:ascii="Times New Roman" w:hAnsi="Times New Roman"/>
          <w:b/>
          <w:i/>
          <w:sz w:val="24"/>
        </w:rPr>
        <w:t>3.6 Cross-Validation</w:t>
      </w:r>
    </w:p>
    <w:p>
      <w:pPr>
        <w:spacing w:line="360" w:lineRule="auto" w:after="120"/>
      </w:pPr>
      <w:r>
        <w:rPr>
          <w:rFonts w:ascii="Times New Roman" w:hAnsi="Times New Roman"/>
          <w:sz w:val="24"/>
        </w:rPr>
        <w:t>Beyond the primary case, we documented three auxiliary cases as part of the broader research project: (a) Teachers S and W, two engineering instructors transitioning from solid waste engineering to smart emergency management and smart human settlements engineering, respectively; and (b) Teacher H, a 61-year-old retired engineer undertaking self-directed study of traditional Chinese flute music using the same NFSC methodology. We do not report these auxiliary cases in full here but draw on them in the Discussion (§5.2) for preliminary evidence of transferability. De-identified summary data for all three, including timeline records and agent system usage logs, are available as Supplementary Material.</w:t>
      </w:r>
    </w:p>
    <w:p>
      <w:pPr>
        <w:spacing w:line="360" w:lineRule="auto" w:before="240" w:after="120"/>
      </w:pPr>
      <w:r>
        <w:rPr>
          <w:rFonts w:ascii="Times New Roman" w:hAnsi="Times New Roman"/>
          <w:b/>
          <w:sz w:val="24"/>
        </w:rPr>
        <w:t>§4 Results</w:t>
      </w:r>
    </w:p>
    <w:p>
      <w:pPr>
        <w:spacing w:line="360" w:lineRule="auto" w:before="120"/>
      </w:pPr>
      <w:r>
        <w:rPr>
          <w:rFonts w:ascii="Times New Roman" w:hAnsi="Times New Roman"/>
          <w:b/>
          <w:i/>
          <w:sz w:val="24"/>
        </w:rPr>
        <w:t>4.1 Self-Study Phase (2021–2022): Knowledge Domain Mapping</w:t>
      </w:r>
    </w:p>
    <w:p>
      <w:pPr>
        <w:spacing w:line="360" w:lineRule="auto" w:after="120"/>
      </w:pPr>
      <w:r>
        <w:rPr>
          <w:rFonts w:ascii="Times New Roman" w:hAnsi="Times New Roman"/>
          <w:sz w:val="24"/>
        </w:rPr>
        <w:t>Teacher Z's development began in earnest in mid-2021. Over the next eighteen months, he mapped the UAV knowledge domain against what he already knew. His prior knowledge base rested on two pillars: land resource management (surveying, GIS, spatial data analysis) and environmental engineering (monitoring technologies, impact assessment, regulatory frameworks). Neither pillar included UAV-specific content. Both contained adjacent knowledge that could anchor new learning.</w:t>
      </w:r>
    </w:p>
    <w:p>
      <w:pPr>
        <w:spacing w:line="360" w:lineRule="auto" w:after="120"/>
      </w:pPr>
      <w:r>
        <w:rPr>
          <w:rFonts w:ascii="Times New Roman" w:hAnsi="Times New Roman"/>
          <w:sz w:val="24"/>
        </w:rPr>
        <w:t>He deployed the NFSC approach as his self-study scaffold. In the Narrative phase, he reframed his career trajectory as a continuity: land surveying led to environmental monitoring, which led logically to UAV-based aerial surveying. The story supplied coherence and motivation. In the Framework phase, he systematically dissected the UAV knowledge domain into sub-domains—flight principles, control systems, sensors, communications, regulations, applications—and cross-referenced each against his existing knowledge to pinpoint gaps. The agent system served at this stage as an on-demand source for structured outlines, explanations of unfamiliar concepts, and technical documentation for each sub-domain.</w:t>
      </w:r>
    </w:p>
    <w:p>
      <w:pPr>
        <w:spacing w:line="360" w:lineRule="auto" w:after="120"/>
      </w:pPr>
      <w:r>
        <w:rPr>
          <w:rFonts w:ascii="Times New Roman" w:hAnsi="Times New Roman"/>
          <w:sz w:val="24"/>
        </w:rPr>
        <w:t>The journals from this period document a deliberate strategy of knowledge transfer. On 12 March 2022, Teacher Z wrote: "The GIS coordinate systems I learned as an undergraduate map directly onto drone flight path planning. The monitoring protocols from my master's research map onto drone-based environmental inspection. I am not starting from zero; I am extending existing frameworks into new territory" (translated from Chinese). This strategy of anchoring new knowledge in existing frameworks maps onto the boundary-crossing mechanism of coordination identified by Akkerman and Bakker (2011).</w:t>
      </w:r>
    </w:p>
    <w:p>
      <w:pPr>
        <w:spacing w:line="360" w:lineRule="auto" w:after="120"/>
      </w:pPr>
      <w:r>
        <w:rPr>
          <w:rFonts w:ascii="Times New Roman" w:hAnsi="Times New Roman"/>
          <w:sz w:val="24"/>
        </w:rPr>
        <w:t>Table 1 presents a condensed timeline of critical events in Teacher Z's development.</w:t>
      </w:r>
    </w:p>
    <w:p>
      <w:r>
        <w:rPr>
          <w:rFonts w:ascii="Times New Roman" w:hAnsi="Times New Roman"/>
          <w:b/>
          <w:sz w:val="20"/>
        </w:rPr>
        <w:t>Table 1: Critical Events Timeline of Teacher Z's Development (2021–Present)</w:t>
      </w:r>
    </w:p>
    <w:p>
      <w:pPr>
        <w:spacing w:line="360" w:lineRule="auto" w:before="120"/>
      </w:pPr>
      <w:r>
        <w:rPr>
          <w:rFonts w:ascii="Times New Roman" w:hAnsi="Times New Roman"/>
          <w:b/>
          <w:i/>
          <w:sz w:val="24"/>
        </w:rPr>
        <w:t>4.2 Teaching Phase (2022–2024): Agent-Assisted Curriculum Design</w:t>
      </w:r>
    </w:p>
    <w:p>
      <w:pPr>
        <w:spacing w:line="360" w:lineRule="auto" w:after="120"/>
      </w:pPr>
      <w:r>
        <w:rPr>
          <w:rFonts w:ascii="Times New Roman" w:hAnsi="Times New Roman"/>
          <w:sz w:val="24"/>
        </w:rPr>
        <w:t>From mid-2022 through mid-2024, Teacher Z translated domain knowledge into curriculum. He developed 10 UAV courses in sequence, with the agent system functioning as a structural scaffold for course design. Table 2 summarises usage data across phases.</w:t>
      </w:r>
    </w:p>
    <w:p>
      <w:r>
        <w:rPr>
          <w:rFonts w:ascii="Times New Roman" w:hAnsi="Times New Roman"/>
          <w:b/>
          <w:sz w:val="20"/>
        </w:rPr>
        <w:t>Table 2: Agent System Usage Data by Phase</w:t>
      </w:r>
    </w:p>
    <w:p>
      <w:pPr>
        <w:spacing w:line="360" w:lineRule="auto" w:after="120"/>
      </w:pPr>
      <w:r>
        <w:rPr>
          <w:rFonts w:ascii="Times New Roman" w:hAnsi="Times New Roman"/>
          <w:sz w:val="24"/>
        </w:rPr>
        <w:t>The 10 courses span the full UAV programme: Aviation Data Analysis and Processing, UAV Control and Trajectory Planning, Sensors and Detection Technology, Fundamentals of Mechanical Design, UAV Flight Simulation, UAV Ground Control Station, UAV Flight Control Principles and Applications, Agricultural Plant Protection UAV Technology, UAV Power Line Inspection Technology, and UAV Primary Mission Flight. Each course cycled through design, delivery, reflection, and revision, with the agent system operating as a design partner at each stage.</w:t>
      </w:r>
    </w:p>
    <w:p>
      <w:pPr>
        <w:spacing w:line="360" w:lineRule="auto" w:after="120"/>
      </w:pPr>
      <w:r>
        <w:rPr>
          <w:rFonts w:ascii="Times New Roman" w:hAnsi="Times New Roman"/>
          <w:sz w:val="24"/>
        </w:rPr>
        <w:t>Figure 1 illustrates the knowledge domain mapping trajectory.</w:t>
      </w:r>
    </w:p>
    <w:p>
      <w:r>
        <w:rPr>
          <w:rFonts w:ascii="Times New Roman" w:hAnsi="Times New Roman"/>
          <w:b/>
          <w:sz w:val="20"/>
        </w:rPr>
        <w:t>Figure 1: Knowledge Domain Mapping Trajectory</w:t>
      </w:r>
    </w:p>
    <w:p>
      <w:pPr>
        <w:spacing w:line="360" w:lineRule="auto" w:after="120"/>
      </w:pPr>
      <w:r>
        <w:rPr>
          <w:rFonts w:ascii="Times New Roman" w:hAnsi="Times New Roman"/>
          <w:sz w:val="24"/>
        </w:rPr>
        <w:t>Land Resource Management ────► UAV Surveying Applications</w:t>
      </w:r>
    </w:p>
    <w:p>
      <w:pPr>
        <w:spacing w:line="360" w:lineRule="auto" w:after="120"/>
      </w:pPr>
      <w:r>
        <w:rPr>
          <w:rFonts w:ascii="Times New Roman" w:hAnsi="Times New Roman"/>
          <w:sz w:val="24"/>
        </w:rPr>
        <w:t>│                              │</w:t>
      </w:r>
    </w:p>
    <w:p>
      <w:pPr>
        <w:spacing w:line="360" w:lineRule="auto" w:after="120"/>
      </w:pPr>
      <w:r>
        <w:rPr>
          <w:rFonts w:ascii="Times New Roman" w:hAnsi="Times New Roman"/>
          <w:sz w:val="24"/>
        </w:rPr>
        <w:t>▼                              ▼</w:t>
      </w:r>
    </w:p>
    <w:p>
      <w:pPr>
        <w:spacing w:line="360" w:lineRule="auto" w:after="120"/>
      </w:pPr>
      <w:r>
        <w:rPr>
          <w:rFonts w:ascii="Times New Roman" w:hAnsi="Times New Roman"/>
          <w:sz w:val="24"/>
        </w:rPr>
        <w:t>Environmental Engineering ───► UAV Environmental Monitoring</w:t>
      </w:r>
    </w:p>
    <w:p>
      <w:pPr>
        <w:spacing w:line="360" w:lineRule="auto" w:after="120"/>
      </w:pPr>
      <w:r>
        <w:rPr>
          <w:rFonts w:ascii="Times New Roman" w:hAnsi="Times New Roman"/>
          <w:sz w:val="24"/>
        </w:rPr>
        <w:t>│                              │</w:t>
      </w:r>
    </w:p>
    <w:p>
      <w:pPr>
        <w:spacing w:line="360" w:lineRule="auto" w:after="120"/>
      </w:pPr>
      <w:r>
        <w:rPr>
          <w:rFonts w:ascii="Times New Roman" w:hAnsi="Times New Roman"/>
          <w:sz w:val="24"/>
        </w:rPr>
        <w:t>▼                              ▼</w:t>
      </w:r>
    </w:p>
    <w:p>
      <w:pPr>
        <w:spacing w:line="360" w:lineRule="auto" w:after="120"/>
      </w:pPr>
      <w:r>
        <w:rPr>
          <w:rFonts w:ascii="Times New Roman" w:hAnsi="Times New Roman"/>
          <w:sz w:val="24"/>
        </w:rPr>
        <w:t>Pedagogical Practice ──────────► UAV Teaching Methodology</w:t>
      </w:r>
    </w:p>
    <w:p>
      <w:pPr>
        <w:spacing w:line="360" w:lineRule="auto" w:after="120"/>
      </w:pPr>
      <w:r>
        <w:rPr>
          <w:rFonts w:ascii="Times New Roman" w:hAnsi="Times New Roman"/>
          <w:sz w:val="24"/>
        </w:rPr>
        <w:t>│                              │</w:t>
      </w:r>
    </w:p>
    <w:p>
      <w:pPr>
        <w:spacing w:line="360" w:lineRule="auto" w:after="120"/>
      </w:pPr>
      <w:r>
        <w:rPr>
          <w:rFonts w:ascii="Times New Roman" w:hAnsi="Times New Roman"/>
          <w:sz w:val="24"/>
        </w:rPr>
        <w:t>▼                              ▼</w:t>
      </w:r>
    </w:p>
    <w:p>
      <w:pPr>
        <w:spacing w:line="360" w:lineRule="auto" w:after="120"/>
      </w:pPr>
      <w:r>
        <w:rPr>
          <w:rFonts w:ascii="Times New Roman" w:hAnsi="Times New Roman"/>
          <w:sz w:val="24"/>
        </w:rPr>
        <w:t>NFSC + Agent System ──────────► UAV Research &amp; Scholarship</w:t>
      </w:r>
    </w:p>
    <w:p>
      <w:pPr>
        <w:spacing w:line="360" w:lineRule="auto" w:before="120"/>
      </w:pPr>
      <w:r>
        <w:rPr>
          <w:rFonts w:ascii="Times New Roman" w:hAnsi="Times New Roman"/>
          <w:b/>
          <w:i/>
          <w:sz w:val="24"/>
        </w:rPr>
        <w:t>4.3 Research Integration Phase (2024–2025): From Teaching Practice to Academic Output</w:t>
      </w:r>
    </w:p>
    <w:p>
      <w:pPr>
        <w:spacing w:line="360" w:lineRule="auto" w:after="120"/>
      </w:pPr>
      <w:r>
        <w:rPr>
          <w:rFonts w:ascii="Times New Roman" w:hAnsi="Times New Roman"/>
          <w:sz w:val="24"/>
        </w:rPr>
        <w:t>In mid-2024, Teacher Z enrolled in a doctoral programme in education at [University B]. This formalised a research dimension that had been running beneath the surface since 2021—continuous reflective journaling, problematising teaching challenges, iterating solutions. The doctoral enrolment was not the start of research activity but its institutional recognition.</w:t>
      </w:r>
    </w:p>
    <w:p>
      <w:pPr>
        <w:spacing w:line="360" w:lineRule="auto" w:after="120"/>
      </w:pPr>
      <w:r>
        <w:rPr>
          <w:rFonts w:ascii="Times New Roman" w:hAnsi="Times New Roman"/>
          <w:sz w:val="24"/>
        </w:rPr>
        <w:t>In 2025, Teacher Z secured three funded projects: a provincial-level teaching reform project on UAV programme curriculum innovation, an institutional-level project on agent-assisted teaching models for vocational UAV education, and an institutional-level project on cross-disciplinary teacher self-study pathways. He also obtained copyright registration for the NFSC teaching methodology. These outputs stand as verifiable markers that the self-study model supported teaching competence and, beyond that, a transition to research productivity.</w:t>
      </w:r>
    </w:p>
    <w:p>
      <w:pPr>
        <w:spacing w:line="360" w:lineRule="auto" w:before="120"/>
      </w:pPr>
      <w:r>
        <w:rPr>
          <w:rFonts w:ascii="Times New Roman" w:hAnsi="Times New Roman"/>
          <w:b/>
          <w:i/>
          <w:sz w:val="24"/>
        </w:rPr>
        <w:t>4.4 Institutional Outputs</w:t>
      </w:r>
    </w:p>
    <w:p>
      <w:pPr>
        <w:spacing w:line="360" w:lineRule="auto" w:after="120"/>
      </w:pPr>
      <w:r>
        <w:rPr>
          <w:rFonts w:ascii="Times New Roman" w:hAnsi="Times New Roman"/>
          <w:sz w:val="24"/>
        </w:rPr>
        <w:t>The tangible outputs of Teacher Z's trajectory are summarised in Table 3.</w:t>
      </w:r>
    </w:p>
    <w:p>
      <w:r>
        <w:rPr>
          <w:rFonts w:ascii="Times New Roman" w:hAnsi="Times New Roman"/>
          <w:b/>
          <w:sz w:val="20"/>
        </w:rPr>
        <w:t>Table 3: Institutional Outputs as Indicators of Professional Growth (Not Direct Measures of Teaching Effectiveness)</w:t>
      </w:r>
    </w:p>
    <w:p>
      <w:pPr>
        <w:spacing w:line="360" w:lineRule="auto" w:before="120"/>
      </w:pPr>
      <w:r>
        <w:rPr>
          <w:rFonts w:ascii="Times New Roman" w:hAnsi="Times New Roman"/>
          <w:b/>
          <w:i/>
          <w:sz w:val="24"/>
        </w:rPr>
        <w:t>4.5 Knowledge Transfer Patterns</w:t>
      </w:r>
    </w:p>
    <w:p>
      <w:pPr>
        <w:spacing w:line="360" w:lineRule="auto" w:after="120"/>
      </w:pPr>
      <w:r>
        <w:rPr>
          <w:rFonts w:ascii="Times New Roman" w:hAnsi="Times New Roman"/>
          <w:sz w:val="24"/>
        </w:rPr>
        <w:t>Three recurrent patterns surfaced in the teaching journals, each illuminating how Teacher Z built disciplinary competence.</w:t>
      </w:r>
    </w:p>
    <w:p>
      <w:pPr>
        <w:spacing w:line="360" w:lineRule="auto" w:after="120"/>
      </w:pPr>
      <w:r>
        <w:rPr>
          <w:rFonts w:ascii="Times New Roman" w:hAnsi="Times New Roman"/>
          <w:sz w:val="24"/>
        </w:rPr>
        <w:t>**Pattern 1: Analogical transfer.** The teacher habitually used concepts from land resource management and environmental engineering as analogies for UAV concepts. GIS coordinate system frameworks mapped onto flight path geometry; environmental sampling protocols mapped onto drone-based data collection workflows.</w:t>
      </w:r>
    </w:p>
    <w:p>
      <w:pPr>
        <w:spacing w:line="360" w:lineRule="auto" w:after="120"/>
      </w:pPr>
      <w:r>
        <w:rPr>
          <w:rFonts w:ascii="Times New Roman" w:hAnsi="Times New Roman"/>
          <w:sz w:val="24"/>
        </w:rPr>
        <w:t>**Pattern 2: Progressive problematisation.** He deliberately sought increasingly difficult teaching tasks. He began with simulation-based courses, where errors carried low stakes, before advancing to equipment-intensive courses demanding hands-on operational competence—a self-imposed zone of proximal development.</w:t>
      </w:r>
    </w:p>
    <w:p>
      <w:pPr>
        <w:spacing w:line="360" w:lineRule="auto" w:after="120"/>
      </w:pPr>
      <w:r>
        <w:rPr>
          <w:rFonts w:ascii="Times New Roman" w:hAnsi="Times New Roman"/>
          <w:sz w:val="24"/>
        </w:rPr>
        <w:t>**Pattern 3: Reflective iteration.** Every teaching cycle ended with a structured journal reflection that identified specific knowledge gaps, pedagogical failures, and revision strategies for the next iteration.</w:t>
      </w:r>
    </w:p>
    <w:p>
      <w:pPr>
        <w:spacing w:line="360" w:lineRule="auto" w:before="240" w:after="120"/>
      </w:pPr>
      <w:r>
        <w:rPr>
          <w:rFonts w:ascii="Times New Roman" w:hAnsi="Times New Roman"/>
          <w:b/>
          <w:sz w:val="24"/>
        </w:rPr>
        <w:t>§5 Discussion</w:t>
      </w:r>
    </w:p>
    <w:p>
      <w:pPr>
        <w:spacing w:line="360" w:lineRule="auto" w:before="120"/>
      </w:pPr>
      <w:r>
        <w:rPr>
          <w:rFonts w:ascii="Times New Roman" w:hAnsi="Times New Roman"/>
          <w:b/>
          <w:i/>
          <w:sz w:val="24"/>
        </w:rPr>
        <w:t>5.1 RQ1: How the Self-Directed Model Supports Cross-Disciplinary Competence Development</w:t>
      </w:r>
    </w:p>
    <w:p>
      <w:pPr>
        <w:spacing w:line="360" w:lineRule="auto" w:after="120"/>
      </w:pPr>
      <w:r>
        <w:rPr>
          <w:rFonts w:ascii="Times New Roman" w:hAnsi="Times New Roman"/>
          <w:sz w:val="24"/>
        </w:rPr>
        <w:t>Teacher Z's trajectory traces all four boundary-crossing mechanisms from Akkerman and Bakker (2011). **Identification** happened through the narrative construction of professional continuity—the story that repositioned cross-disciplinarity as extension rather than rupture. **Coordination** took shape through systematic knowledge domain mapping and deliberate analogical transfer. **Reflection** was the weekly journaling practice, sustained over four years. **Transformation** materialised when teaching, research, and continued learning fused into an ongoing professional identity.</w:t>
      </w:r>
    </w:p>
    <w:p>
      <w:pPr>
        <w:spacing w:line="360" w:lineRule="auto" w:after="120"/>
      </w:pPr>
      <w:r>
        <w:rPr>
          <w:rFonts w:ascii="Times New Roman" w:hAnsi="Times New Roman"/>
          <w:sz w:val="24"/>
        </w:rPr>
        <w:t>The technology support system played a critical but circumscribed role. It was neither a learning management system delivering content nor an intelligent tutoring system tracking competency. It was an always-available knowledge scaffold—a responsive information resource the teacher could query at any point in the learning process. This fits Eraut's (2004) characterisation of informal workplace learning, where most learning occurs during work activity rather than in dedicated training blocks. The system collapsed the temporal gap between encountering a knowledge gap and accessing the information to close it.</w:t>
      </w:r>
    </w:p>
    <w:p>
      <w:pPr>
        <w:spacing w:line="360" w:lineRule="auto" w:after="120"/>
      </w:pPr>
      <w:r>
        <w:rPr>
          <w:rFonts w:ascii="Times New Roman" w:hAnsi="Times New Roman"/>
          <w:sz w:val="24"/>
        </w:rPr>
        <w:t>The NFSC methodology supplied the structure Brookfield (1986) identified as essential for effective self-direction. Its four components—Narrative (a coherent professional story), Framework (systematic knowledge mapping), Scene (contextualised scenario-based learning), and Creation (tangible outputs)—functioned as a self-study protocol substituting for the curriculum structure of formal training. The NFSC approach draws on established pedagogical principles: narrative pedagogy (Bruner, 1986), constructive alignment (Biggs, 1996), and scenario-based learning, adapted here for self-directed knowledge acquisition. These findings extend Verster et al. (2024) in one important respect: self-directed professional development can address foundational disciplinary knowledge acquisition, not just curriculum practice enhancement. We acknowledge the risk of confirmation bias given our involvement in developing the NFSC methodology. To counter this, we triangulated self-report data (teaching journals) against independent evidence—funded project awards and copyright registration—adjudicated by external reviewers unaware of this study.</w:t>
      </w:r>
    </w:p>
    <w:p>
      <w:pPr>
        <w:spacing w:line="360" w:lineRule="auto" w:before="120"/>
      </w:pPr>
      <w:r>
        <w:rPr>
          <w:rFonts w:ascii="Times New Roman" w:hAnsi="Times New Roman"/>
          <w:b/>
          <w:i/>
          <w:sz w:val="24"/>
        </w:rPr>
        <w:t>5.2 RQ2: Conditions for Cross-Disciplinary Transfer</w:t>
      </w:r>
    </w:p>
    <w:p>
      <w:pPr>
        <w:spacing w:line="360" w:lineRule="auto" w:after="120"/>
      </w:pPr>
      <w:r>
        <w:rPr>
          <w:rFonts w:ascii="Times New Roman" w:hAnsi="Times New Roman"/>
          <w:sz w:val="24"/>
        </w:rPr>
        <w:t>The three auxiliary cases offer preliminary evidence about transfer conditions. Teachers S and W, both from solid waste engineering backgrounds, used the NFSC methodology to transition into smart emergency management and smart human settlements engineering. Their transitions ran 12–18 months and generated new course materials for undergraduate programmes (four courses for Teacher W, three for Teacher S). Teacher H, a 61-year-old retired engineer with no musical background, applied the methodology to Chinese flute music, developing a structured self-learning programme—the Bamboo-Music-Wellness system—that received copyright registration and was formalised into a community teaching programme. Three conditions for successful transfer cut across all four cases.</w:t>
      </w:r>
    </w:p>
    <w:p>
      <w:pPr>
        <w:spacing w:line="360" w:lineRule="auto" w:after="120"/>
      </w:pPr>
      <w:r>
        <w:rPr>
          <w:rFonts w:ascii="Times New Roman" w:hAnsi="Times New Roman"/>
          <w:sz w:val="24"/>
        </w:rPr>
        <w:t>**An anchoring knowledge domain.** Every teacher brought a pre-existing knowledge structure—land management and environmental engineering (Teacher Z), solid waste engineering (Teachers S and W), engineering problem-solving (Teacher H)—that supplied conceptual frameworks onto which new knowledge could be mapped. The agent system accelerated this mapping by making the target domain's structure explicit and highlighting connections to the anchoring domain.</w:t>
      </w:r>
    </w:p>
    <w:p>
      <w:pPr>
        <w:spacing w:line="360" w:lineRule="auto" w:after="120"/>
      </w:pPr>
      <w:r>
        <w:rPr>
          <w:rFonts w:ascii="Times New Roman" w:hAnsi="Times New Roman"/>
          <w:sz w:val="24"/>
        </w:rPr>
        <w:t>**A structured self-study protocol.** The NFSC methodology provided a replicable cognitive sequence: narrate, map, simulate, produce. This protocol served the same function as the structured reflection activities Verster et al. (2024) found essential, but stretched it beyond reflection-on-practice to structured knowledge acquisition.</w:t>
      </w:r>
    </w:p>
    <w:p>
      <w:pPr>
        <w:spacing w:line="360" w:lineRule="auto" w:after="120"/>
      </w:pPr>
      <w:r>
        <w:rPr>
          <w:rFonts w:ascii="Times New Roman" w:hAnsi="Times New Roman"/>
          <w:sz w:val="24"/>
        </w:rPr>
        <w:t>**Institutional permission for self-directed experimentation.** All four teachers operated in environments that allowed—or at least did not obstruct—self-directed learning. This condition echoes Rasool and Naidoo's (2024) findings on the importance of institutional enabling conditions for technology-supported professional development.</w:t>
      </w:r>
    </w:p>
    <w:p>
      <w:pPr>
        <w:spacing w:line="360" w:lineRule="auto" w:before="120"/>
      </w:pPr>
      <w:r>
        <w:rPr>
          <w:rFonts w:ascii="Times New Roman" w:hAnsi="Times New Roman"/>
          <w:b/>
          <w:i/>
          <w:sz w:val="24"/>
        </w:rPr>
        <w:t>5.3 Policy Implications for Developing Countries</w:t>
      </w:r>
    </w:p>
    <w:p>
      <w:pPr>
        <w:spacing w:line="360" w:lineRule="auto" w:before="240" w:after="120"/>
      </w:pPr>
      <w:r>
        <w:rPr>
          <w:rFonts w:ascii="Times New Roman" w:hAnsi="Times New Roman"/>
          <w:b/>
          <w:sz w:val="24"/>
        </w:rPr>
        <w:t>5.3.1 Cost Accessibility and Infrastructure</w:t>
      </w:r>
    </w:p>
    <w:p>
      <w:pPr>
        <w:spacing w:line="360" w:lineRule="auto" w:after="120"/>
      </w:pPr>
      <w:r>
        <w:rPr>
          <w:rFonts w:ascii="Times New Roman" w:hAnsi="Times New Roman"/>
          <w:sz w:val="24"/>
        </w:rPr>
        <w:t>The model described here operates at zero marginal cost. The agent system needs only a standard internet-connected device and a freely available large language model interface. Deployment involves no server infrastructure, no licensing fees, no specialised technical personnel. This directly addresses the infrastructure barriers Chuene and Teane (2024) identified as critical constraints on curriculum implementation in resource-limited South African schools. For education departments in developing economies squeezed between curriculum expansion, teacher shortages, and fiscal constraint, a zero-cost teacher self-development infrastructure is a pragmatic option.</w:t>
      </w:r>
    </w:p>
    <w:p>
      <w:pPr>
        <w:spacing w:line="360" w:lineRule="auto" w:before="240" w:after="120"/>
      </w:pPr>
      <w:r>
        <w:rPr>
          <w:rFonts w:ascii="Times New Roman" w:hAnsi="Times New Roman"/>
          <w:b/>
          <w:sz w:val="24"/>
        </w:rPr>
        <w:t>5.3.2 Cross-Domain Replicability</w:t>
      </w:r>
    </w:p>
    <w:p>
      <w:pPr>
        <w:spacing w:line="360" w:lineRule="auto" w:after="120"/>
      </w:pPr>
      <w:r>
        <w:rPr>
          <w:rFonts w:ascii="Times New Roman" w:hAnsi="Times New Roman"/>
          <w:sz w:val="24"/>
        </w:rPr>
        <w:t>The disciplinary range covered—solid waste engineering to UAVs, environmental science to smart engineering, engineering to traditional music—suggests the model cuts across specific disciplinary boundaries. For policy-makers, cross-domain applicability matters: a single methodology can address teacher shortages across multiple programme areas simultaneously, eliminating the need for discipline-specific training interventions.</w:t>
      </w:r>
    </w:p>
    <w:p>
      <w:pPr>
        <w:spacing w:line="360" w:lineRule="auto" w:before="240" w:after="120"/>
      </w:pPr>
      <w:r>
        <w:rPr>
          <w:rFonts w:ascii="Times New Roman" w:hAnsi="Times New Roman"/>
          <w:b/>
          <w:sz w:val="24"/>
        </w:rPr>
        <w:t>5.3.3 Institutional Embedding</w:t>
      </w:r>
    </w:p>
    <w:p>
      <w:pPr>
        <w:spacing w:line="360" w:lineRule="auto" w:after="120"/>
      </w:pPr>
      <w:r>
        <w:rPr>
          <w:rFonts w:ascii="Times New Roman" w:hAnsi="Times New Roman"/>
          <w:sz w:val="24"/>
        </w:rPr>
        <w:t>The tougher question is whether self-directed models can be absorbed into existing teacher continuing education frameworks. Sepadi and Themane (2025) showed that short learning programmes build capacity for inclusive education among South African teachers but noted that sustained institutional support is needed for programmes to translate into practice change. For the model described here, institutional embedding would require three elements: (a) official recognition of self-directed learning as legitimate continuing professional development, (b) incorporation of the NFSC methodology into induction programmes for cross-disciplinary teachers, and (c) peer support networks for cross-disciplinary teachers using shared technology platforms.</w:t>
      </w:r>
    </w:p>
    <w:p>
      <w:pPr>
        <w:spacing w:line="360" w:lineRule="auto" w:before="240" w:after="120"/>
      </w:pPr>
      <w:r>
        <w:rPr>
          <w:rFonts w:ascii="Times New Roman" w:hAnsi="Times New Roman"/>
          <w:b/>
          <w:sz w:val="24"/>
        </w:rPr>
        <w:t>5.3.4 BRICS and South-South Cooperation Framework</w:t>
      </w:r>
    </w:p>
    <w:p>
      <w:pPr>
        <w:spacing w:line="360" w:lineRule="auto" w:after="120"/>
      </w:pPr>
      <w:r>
        <w:rPr>
          <w:rFonts w:ascii="Times New Roman" w:hAnsi="Times New Roman"/>
          <w:sz w:val="24"/>
        </w:rPr>
        <w:t>The model's relevance to South African education policy stretches beyond domestic application. The BRICS cooperation framework (Brazil, Russia, India, China, South Africa) has flagged teacher training as a priority for collaborative action (Wolhuter, 2023). The model's zero-cost architecture, cross-domain applicability, and independence from proprietary infrastructure suit it for South-South knowledge transfer. In South Africa's technical and vocational education and training (TVET) college sector, where lecturer qualifications remain a pressing concern (Naidoo, 2026), a methodology enabling self-directed competence development without external training resources addresses a direct policy need.</w:t>
      </w:r>
    </w:p>
    <w:p>
      <w:pPr>
        <w:spacing w:line="360" w:lineRule="auto" w:before="120"/>
      </w:pPr>
      <w:r>
        <w:rPr>
          <w:rFonts w:ascii="Times New Roman" w:hAnsi="Times New Roman"/>
          <w:b/>
          <w:i/>
          <w:sz w:val="24"/>
        </w:rPr>
        <w:t>5.4 Limitations</w:t>
      </w:r>
    </w:p>
    <w:p>
      <w:pPr>
        <w:spacing w:line="360" w:lineRule="auto" w:after="120"/>
      </w:pPr>
      <w:r>
        <w:rPr>
          <w:rFonts w:ascii="Times New Roman" w:hAnsi="Times New Roman"/>
          <w:sz w:val="24"/>
        </w:rPr>
        <w:t>Several limitations constrain interpretation. First, N = 1. Flyvbjerg (2006) established that single cases can yield generalisable insights, but external validity awaits replication. Second, there is no control condition. We cannot determine whether Teacher Z would have achieved comparable or better results through alternative approaches, nor can we isolate the technology component's specific contribution from the NFSC methodology and the teacher's individual characteristics. Third, the data lean heavily on self-report through teaching journals, raising the familiar risk of self-report bias (Patton, 2015). Fourth, we lack student learning outcome data that would allow assessment of teaching effectiveness beyond institutional indicators such as funded research projects. Fifth, Teacher Z's particular profile—strong pre-existing analytical skills from two degree programmes, high motivation evidenced by doctoral enrolment, and reliable access to computing infrastructure—may limit generalisability to teachers with different personal and contextual characteristics.</w:t>
      </w:r>
    </w:p>
    <w:p>
      <w:pPr>
        <w:spacing w:line="360" w:lineRule="auto" w:before="240" w:after="120"/>
      </w:pPr>
      <w:r>
        <w:rPr>
          <w:rFonts w:ascii="Times New Roman" w:hAnsi="Times New Roman"/>
          <w:b/>
          <w:sz w:val="24"/>
        </w:rPr>
        <w:t>§6 Conclusion</w:t>
      </w:r>
    </w:p>
    <w:p>
      <w:pPr>
        <w:spacing w:line="360" w:lineRule="auto" w:after="120"/>
      </w:pPr>
      <w:r>
        <w:rPr>
          <w:rFonts w:ascii="Times New Roman" w:hAnsi="Times New Roman"/>
          <w:sz w:val="24"/>
        </w:rPr>
        <w:t>We set out to examine how a self-directed, technology-assisted learning model supports cross-disciplinary teaching competence in vocational education, and to identify conditions that allow the model to travel across disciplines. Teacher Z's four-year trajectory shows that such a model can power the full arc from disciplinary novice to research-active programme leader, provided three conditions hold: an anchoring knowledge domain, a structured self-study protocol, and institutional tolerance for experimentation.</w:t>
      </w:r>
    </w:p>
    <w:p>
      <w:pPr>
        <w:spacing w:line="360" w:lineRule="auto" w:after="120"/>
      </w:pPr>
      <w:r>
        <w:rPr>
          <w:rFonts w:ascii="Times New Roman" w:hAnsi="Times New Roman"/>
          <w:sz w:val="24"/>
        </w:rPr>
        <w:t>Three contributions follow. Empirically: we have documented a complete cross-disciplinary teacher development trajectory—from initial knowledge mapping through curriculum design to scholarly output—filling a gap in the teacher professional development literature. Methodologically: the NFSC self-study protocol, adapted from classroom pedagogy to self-directed learning, offers a replicable structure for cross-disciplinary knowledge acquisition that extends existing models of self-directed professional development (Verster et al., 2024). On the policy front: the zero-cost technology architecture, backed by evidence of cross-domain replicability, gives education systems in developing economies a practical lever for addressing structural teacher shortages.</w:t>
      </w:r>
    </w:p>
    <w:p>
      <w:pPr>
        <w:spacing w:line="360" w:lineRule="auto" w:after="120"/>
      </w:pPr>
      <w:r>
        <w:rPr>
          <w:rFonts w:ascii="Times New Roman" w:hAnsi="Times New Roman"/>
          <w:sz w:val="24"/>
        </w:rPr>
        <w:t>These contributions must be weighed against the limits of a single-case design. The model does not replace formal teacher education. A teacher with specialist disciplinary training will, all else equal, bring deeper, more integrated knowledge to the classroom than one who is self-taught. The model is a bridge—a pragmatic tool for contexts where formal training is out of reach, and such contexts are common across the developing-country vocational systems this journal serves.</w:t>
      </w:r>
    </w:p>
    <w:p>
      <w:pPr>
        <w:spacing w:line="360" w:lineRule="auto" w:after="120"/>
      </w:pPr>
      <w:r>
        <w:rPr>
          <w:rFonts w:ascii="Times New Roman" w:hAnsi="Times New Roman"/>
          <w:sz w:val="24"/>
        </w:rPr>
        <w:t>Several research directions open up: multi-case comparisons to map the model's boundary conditions; quantitative studies incorporating student learning outcome measures; cross-institutional replications in different national and disciplinary settings; and design-based research to optimise the technology support system for specific disciplinary transitions. The auxiliary cases reported briefly here suggest the model's transferability across disciplines and life stages deserves systematic investigation. In a global education landscape shaped by persistent teacher shortages, resource constraints, and fast-evolving curricula, self-directed technology-assisted models of teacher professional growth warrant sustained scholarly attention and measured policy consideration.</w:t>
      </w:r>
    </w:p>
    <w:p>
      <w:pPr>
        <w:spacing w:line="360" w:lineRule="auto" w:after="120"/>
      </w:pPr>
      <w:r>
        <w:rPr>
          <w:rFonts w:ascii="Times New Roman" w:hAnsi="Times New Roman"/>
          <w:sz w:val="24"/>
        </w:rPr>
        <w:t>## References</w:t>
      </w:r>
    </w:p>
    <w:p>
      <w:pPr>
        <w:spacing w:line="360" w:lineRule="auto" w:after="120"/>
        <w:ind w:hanging="720" w:left="720"/>
      </w:pPr>
      <w:r>
        <w:rPr>
          <w:rFonts w:ascii="Times New Roman" w:hAnsi="Times New Roman"/>
          <w:sz w:val="24"/>
        </w:rPr>
        <w:t>Akkerman, S. F., &amp; Bakker, A. (2011). Boundary crossing and boundary objects. *Review of Educational Research*, 81(2), 132–169. https://doi.org/10.3102/0034654311404435</w:t>
      </w:r>
    </w:p>
    <w:p>
      <w:pPr>
        <w:spacing w:line="360" w:lineRule="auto" w:after="120"/>
        <w:ind w:hanging="720" w:left="720"/>
      </w:pPr>
      <w:r>
        <w:rPr>
          <w:rFonts w:ascii="Times New Roman" w:hAnsi="Times New Roman"/>
          <w:sz w:val="24"/>
        </w:rPr>
        <w:t>Avalos, B. (2011). Teacher professional development in *Teaching and Teacher Education* over ten years. *Teaching and Teacher Education*, 27(1), 10–20. https://doi.org/10.1016/j.tate.2010.08.007</w:t>
      </w:r>
    </w:p>
    <w:p>
      <w:pPr>
        <w:spacing w:line="360" w:lineRule="auto" w:after="120"/>
        <w:ind w:hanging="720" w:left="720"/>
      </w:pPr>
      <w:r>
        <w:rPr>
          <w:rFonts w:ascii="Times New Roman" w:hAnsi="Times New Roman"/>
          <w:sz w:val="24"/>
        </w:rPr>
        <w:t>Billett, S. (2002). Toward a workplace pedagogy: Guidance, participation, and engagement. *Adult Education Quarterly*, 53(1), 27–43. https://doi.org/10.1177/074171302237202</w:t>
      </w:r>
    </w:p>
    <w:p>
      <w:pPr>
        <w:spacing w:line="360" w:lineRule="auto" w:after="120"/>
        <w:ind w:hanging="720" w:left="720"/>
      </w:pPr>
      <w:r>
        <w:rPr>
          <w:rFonts w:ascii="Times New Roman" w:hAnsi="Times New Roman"/>
          <w:sz w:val="24"/>
        </w:rPr>
        <w:t>Biggs, J. (1996). Enhancing teaching through constructive alignment. *Higher Education*, 32(3), 347–364. https://doi.org/10.1007/BF00138871</w:t>
      </w:r>
    </w:p>
    <w:p>
      <w:pPr>
        <w:spacing w:line="360" w:lineRule="auto" w:after="120"/>
        <w:ind w:hanging="720" w:left="720"/>
      </w:pPr>
      <w:r>
        <w:rPr>
          <w:rFonts w:ascii="Times New Roman" w:hAnsi="Times New Roman"/>
          <w:sz w:val="24"/>
        </w:rPr>
        <w:t>Braun, V., &amp; Clarke, V. (2006). Using thematic analysis in psychology. *Qualitative Research in Psychology*, 3(2), 77–101. https://doi.org/10.1191/1478088706qp063oa</w:t>
      </w:r>
    </w:p>
    <w:p>
      <w:pPr>
        <w:spacing w:line="360" w:lineRule="auto" w:after="120"/>
        <w:ind w:hanging="720" w:left="720"/>
      </w:pPr>
      <w:r>
        <w:rPr>
          <w:rFonts w:ascii="Times New Roman" w:hAnsi="Times New Roman"/>
          <w:sz w:val="24"/>
        </w:rPr>
        <w:t>Wolhuter, C. C. (2023). Education in the BRICS countries and the likely impact of the COVID-19 pandemic. *BRICS Journal of Economics*, 4(1), 131–146. https://doi.org/10.3897/brics-econ.4.e100736</w:t>
      </w:r>
    </w:p>
    <w:p>
      <w:pPr>
        <w:spacing w:line="360" w:lineRule="auto" w:after="120"/>
      </w:pPr>
      <w:r>
        <w:rPr>
          <w:rFonts w:ascii="Times New Roman" w:hAnsi="Times New Roman"/>
          <w:sz w:val="24"/>
        </w:rPr>
        <w:t>Brookfield, S. D. (1986). *Understanding and facilitating adult learning: A comprehensive analysis of principles and effective practices*. Jossey-Bass.</w:t>
      </w:r>
    </w:p>
    <w:p>
      <w:pPr>
        <w:spacing w:line="360" w:lineRule="auto" w:after="120"/>
      </w:pPr>
      <w:r>
        <w:rPr>
          <w:rFonts w:ascii="Times New Roman" w:hAnsi="Times New Roman"/>
          <w:sz w:val="24"/>
        </w:rPr>
        <w:t>Bruner, J. (1986). *Actual minds, possible worlds*. Harvard University Press.</w:t>
      </w:r>
    </w:p>
    <w:p>
      <w:pPr>
        <w:spacing w:line="360" w:lineRule="auto" w:after="120"/>
        <w:ind w:hanging="720" w:left="720"/>
      </w:pPr>
      <w:r>
        <w:rPr>
          <w:rFonts w:ascii="Times New Roman" w:hAnsi="Times New Roman"/>
          <w:sz w:val="24"/>
        </w:rPr>
        <w:t>Chuene, D. M., &amp; Teane, F. M. (2024). Resource inadequacy as a barrier to effective curriculum implementation by life sciences teachers in South Africa. *South African Journal of Education*, 44(2), Art. #2387. https://doi.org/10.15700/saje.v44n2a2387</w:t>
      </w:r>
    </w:p>
    <w:p>
      <w:pPr>
        <w:spacing w:line="360" w:lineRule="auto" w:after="120"/>
        <w:ind w:hanging="720" w:left="720"/>
      </w:pPr>
      <w:r>
        <w:rPr>
          <w:rFonts w:ascii="Times New Roman" w:hAnsi="Times New Roman"/>
          <w:sz w:val="24"/>
        </w:rPr>
        <w:t>Clarke, D., &amp; Hollingsworth, H. (2002). Elaborating a model of teacher professional growth. *Teaching and Teacher Education*, 18(8), 947–967. https://doi.org/10.1016/S0742-051X(02)00053-7</w:t>
      </w:r>
    </w:p>
    <w:p>
      <w:pPr>
        <w:spacing w:line="360" w:lineRule="auto" w:after="120"/>
      </w:pPr>
      <w:r>
        <w:rPr>
          <w:rFonts w:ascii="Times New Roman" w:hAnsi="Times New Roman"/>
          <w:sz w:val="24"/>
        </w:rPr>
        <w:t>Cochran-Smith, M., &amp; Lytle, S. L. (2001). Beyond certainty: Taking an inquiry stance on practice. *Teachers College Record*, 103(1), 93–117.</w:t>
      </w:r>
    </w:p>
    <w:p>
      <w:pPr>
        <w:spacing w:line="360" w:lineRule="auto" w:after="120"/>
        <w:ind w:hanging="720" w:left="720"/>
      </w:pPr>
      <w:r>
        <w:rPr>
          <w:rFonts w:ascii="Times New Roman" w:hAnsi="Times New Roman"/>
          <w:sz w:val="24"/>
        </w:rPr>
        <w:t>Darling-Hammond, L., Hyler, M. E., &amp; Gardner, M. (2017). *Effective teacher professional development*. Learning Policy Institute. https://doi.org/10.54300/122.311</w:t>
      </w:r>
    </w:p>
    <w:p>
      <w:pPr>
        <w:spacing w:line="360" w:lineRule="auto" w:after="120"/>
        <w:ind w:hanging="720" w:left="720"/>
      </w:pPr>
      <w:r>
        <w:rPr>
          <w:rFonts w:ascii="Times New Roman" w:hAnsi="Times New Roman"/>
          <w:sz w:val="24"/>
        </w:rPr>
        <w:t>Desimone, L. M. (2009). Improving impact studies of teachers' professional development: Toward better conceptualizations and measures. *Educational Researcher*, 38(3), 181–199. https://doi.org/10.3102/0013189X08331140</w:t>
      </w:r>
    </w:p>
    <w:p>
      <w:pPr>
        <w:spacing w:line="360" w:lineRule="auto" w:after="120"/>
        <w:ind w:hanging="720" w:left="720"/>
      </w:pPr>
      <w:r>
        <w:rPr>
          <w:rFonts w:ascii="Times New Roman" w:hAnsi="Times New Roman"/>
          <w:sz w:val="24"/>
        </w:rPr>
        <w:t>Engeström, Y. (2001). Expansive learning at work: Toward an activity theoretical reconceptualization. *Journal of Education and Work*, 14(1), 133–156. https://doi.org/10.1080/13639080020028747</w:t>
      </w:r>
    </w:p>
    <w:p>
      <w:pPr>
        <w:spacing w:line="360" w:lineRule="auto" w:after="120"/>
        <w:ind w:hanging="720" w:left="720"/>
      </w:pPr>
      <w:r>
        <w:rPr>
          <w:rFonts w:ascii="Times New Roman" w:hAnsi="Times New Roman"/>
          <w:sz w:val="24"/>
        </w:rPr>
        <w:t>Eraut, M. (2004). Informal learning in the workplace. *Studies in Continuing Education*, 26(2), 247–273. https://doi.org/10.1080/158037042000225245</w:t>
      </w:r>
    </w:p>
    <w:p>
      <w:pPr>
        <w:spacing w:line="360" w:lineRule="auto" w:after="120"/>
        <w:ind w:hanging="720" w:left="720"/>
      </w:pPr>
      <w:r>
        <w:rPr>
          <w:rFonts w:ascii="Times New Roman" w:hAnsi="Times New Roman"/>
          <w:sz w:val="24"/>
        </w:rPr>
        <w:t>Flyvbjerg, B. (2006). Five misunderstandings about case-study research. *Qualitative Inquiry*, 12(2), 219–245. https://doi.org/10.1177/1077800405284363</w:t>
      </w:r>
    </w:p>
    <w:p>
      <w:pPr>
        <w:spacing w:line="360" w:lineRule="auto" w:after="120"/>
      </w:pPr>
      <w:r>
        <w:rPr>
          <w:rFonts w:ascii="Times New Roman" w:hAnsi="Times New Roman"/>
          <w:sz w:val="24"/>
        </w:rPr>
        <w:t>Fullan, M. (2007). *The new meaning of educational change* (4th ed.). Teachers College Press.</w:t>
      </w:r>
    </w:p>
    <w:p>
      <w:pPr>
        <w:spacing w:line="360" w:lineRule="auto" w:after="120"/>
      </w:pPr>
      <w:r>
        <w:rPr>
          <w:rFonts w:ascii="Times New Roman" w:hAnsi="Times New Roman"/>
          <w:sz w:val="24"/>
        </w:rPr>
        <w:t>Hargreaves, A. (2003). *Teaching in the knowledge society: Education in the age of insecurity*. Teachers College Press.</w:t>
      </w:r>
    </w:p>
    <w:p>
      <w:pPr>
        <w:spacing w:line="360" w:lineRule="auto" w:after="120"/>
      </w:pPr>
      <w:r>
        <w:rPr>
          <w:rFonts w:ascii="Times New Roman" w:hAnsi="Times New Roman"/>
          <w:sz w:val="24"/>
        </w:rPr>
        <w:t>Ingersoll, R. M. (2003). *Out-of-field teaching and the limits of teacher policy*. Center for the Study of Teaching and Policy, University of Washington.</w:t>
      </w:r>
    </w:p>
    <w:p>
      <w:pPr>
        <w:spacing w:line="360" w:lineRule="auto" w:after="120"/>
        <w:ind w:hanging="720" w:left="720"/>
      </w:pPr>
      <w:r>
        <w:rPr>
          <w:rFonts w:ascii="Times New Roman" w:hAnsi="Times New Roman"/>
          <w:sz w:val="24"/>
        </w:rPr>
        <w:t>Kamanga, E., Lubbe, A., &amp; de Beer, J. (2026). Exploring self-directed learning behaviour among Grade 9 natural sciences learners. *South African Journal of Education*, 46(1), Art. #2572. https://doi.org/10.15700/saje.v46n1a2572</w:t>
      </w:r>
    </w:p>
    <w:p>
      <w:pPr>
        <w:spacing w:line="360" w:lineRule="auto" w:after="120"/>
      </w:pPr>
      <w:r>
        <w:rPr>
          <w:rFonts w:ascii="Times New Roman" w:hAnsi="Times New Roman"/>
          <w:sz w:val="24"/>
        </w:rPr>
        <w:t>Knowles, M. S. (1975). *Self-directed learning: A guide for learners and teachers*. Association Press.</w:t>
      </w:r>
    </w:p>
    <w:p>
      <w:pPr>
        <w:spacing w:line="360" w:lineRule="auto" w:after="120"/>
        <w:ind w:hanging="720" w:left="720"/>
      </w:pPr>
      <w:r>
        <w:rPr>
          <w:rFonts w:ascii="Times New Roman" w:hAnsi="Times New Roman"/>
          <w:sz w:val="24"/>
        </w:rPr>
        <w:t>Koo, A. (2016). Expansion of vocational education in neoliberal China: Hope and despair among rural youth. *Journal of Education Policy*, 31(1), 46–59. https://doi.org/10.1080/02680939.2015.1073791</w:t>
      </w:r>
    </w:p>
    <w:p>
      <w:pPr>
        <w:spacing w:line="360" w:lineRule="auto" w:after="120"/>
      </w:pPr>
      <w:r>
        <w:rPr>
          <w:rFonts w:ascii="Times New Roman" w:hAnsi="Times New Roman"/>
          <w:sz w:val="24"/>
        </w:rPr>
        <w:t>Lincoln, Y. S., &amp; Guba, E. G. (1985). *Naturalistic inquiry*. Sage.</w:t>
      </w:r>
    </w:p>
    <w:p>
      <w:pPr>
        <w:spacing w:line="360" w:lineRule="auto" w:after="120"/>
      </w:pPr>
      <w:r>
        <w:rPr>
          <w:rFonts w:ascii="Times New Roman" w:hAnsi="Times New Roman"/>
          <w:sz w:val="24"/>
        </w:rPr>
        <w:t>Miles, M. B., Huberman, A. M., &amp; Saldaña, J. (2014). *Qualitative data analysis: A methods sourcebook* (3rd ed.). Sage.</w:t>
      </w:r>
    </w:p>
    <w:p>
      <w:pPr>
        <w:spacing w:line="360" w:lineRule="auto" w:after="120"/>
        <w:ind w:hanging="720" w:left="720"/>
      </w:pPr>
      <w:r>
        <w:rPr>
          <w:rFonts w:ascii="Times New Roman" w:hAnsi="Times New Roman"/>
          <w:sz w:val="24"/>
        </w:rPr>
        <w:t>Naidoo, M. D. E. (2026). Assessing the integration and impact of information and communication technology in education: South African private secondary schools in KwaZulu-Natal. *South African Journal of Education*, 46(1), Art. #2550. https://doi.org/10.15700/saje.v46n1a2550</w:t>
      </w:r>
    </w:p>
    <w:p>
      <w:pPr>
        <w:spacing w:line="360" w:lineRule="auto" w:after="120"/>
        <w:ind w:hanging="720" w:left="720"/>
      </w:pPr>
      <w:r>
        <w:rPr>
          <w:rFonts w:ascii="Times New Roman" w:hAnsi="Times New Roman"/>
          <w:sz w:val="24"/>
        </w:rPr>
        <w:t>Organisation for Economic Co-operation and Development. (2022). *Education at a glance 2022: OECD indicators*. OECD Publishing. https://doi.org/10.1787/3197152b-en</w:t>
      </w:r>
    </w:p>
    <w:p>
      <w:pPr>
        <w:spacing w:line="360" w:lineRule="auto" w:after="120"/>
      </w:pPr>
      <w:r>
        <w:rPr>
          <w:rFonts w:ascii="Times New Roman" w:hAnsi="Times New Roman"/>
          <w:sz w:val="24"/>
        </w:rPr>
        <w:t>Patton, M. Q. (2015). *Qualitative research &amp; evaluation methods* (4th ed.). Sage.</w:t>
      </w:r>
    </w:p>
    <w:p>
      <w:pPr>
        <w:spacing w:line="360" w:lineRule="auto" w:after="120"/>
        <w:ind w:hanging="720" w:left="720"/>
      </w:pPr>
      <w:r>
        <w:rPr>
          <w:rFonts w:ascii="Times New Roman" w:hAnsi="Times New Roman"/>
          <w:sz w:val="24"/>
        </w:rPr>
        <w:t>Rasool, K. N., &amp; Naidoo, P. (2024). The sustainability of information and communication technology (ICT) in previously disadvantaged public schools in Gauteng, South Africa. *South African Journal of Education*, 44(1), Art. #2302. https://doi.org/10.15700/saje.v44n1a2302</w:t>
      </w:r>
    </w:p>
    <w:p>
      <w:pPr>
        <w:spacing w:line="360" w:lineRule="auto" w:after="120"/>
        <w:ind w:hanging="720" w:left="720"/>
      </w:pPr>
      <w:r>
        <w:rPr>
          <w:rFonts w:ascii="Times New Roman" w:hAnsi="Times New Roman"/>
          <w:sz w:val="24"/>
        </w:rPr>
        <w:t>Sepadi, M. D., &amp; Themane, M. J. (2025). Creating capacity for change through short learning programmes for professional learning for inclusive education of teachers in South Africa. *South African Journal of Education*, 45(1), Art. #2399. https://doi.org/10.15700/saje.v45n1a2399</w:t>
      </w:r>
    </w:p>
    <w:p>
      <w:pPr>
        <w:spacing w:line="360" w:lineRule="auto" w:after="120"/>
        <w:ind w:hanging="720" w:left="720"/>
      </w:pPr>
      <w:r>
        <w:rPr>
          <w:rFonts w:ascii="Times New Roman" w:hAnsi="Times New Roman"/>
          <w:sz w:val="24"/>
        </w:rPr>
        <w:t>Shulman, L. S. (1987). Knowledge and teaching: Foundations of the new reform. *Harvard Educational Review*, 57(1), 1–23. https://doi.org/10.17763/haer.57.1.j463w79r56455411</w:t>
      </w:r>
    </w:p>
    <w:p>
      <w:pPr>
        <w:spacing w:line="360" w:lineRule="auto" w:after="120"/>
      </w:pPr>
      <w:r>
        <w:rPr>
          <w:rFonts w:ascii="Times New Roman" w:hAnsi="Times New Roman"/>
          <w:sz w:val="24"/>
        </w:rPr>
        <w:t>State Council of the People's Republic of China. (2019). *National vocational education reform implementation plan* (国发〔2019〕4号). Beijing: State Council.</w:t>
      </w:r>
    </w:p>
    <w:p>
      <w:pPr>
        <w:spacing w:line="360" w:lineRule="auto" w:after="120"/>
      </w:pPr>
      <w:r>
        <w:rPr>
          <w:rFonts w:ascii="Times New Roman" w:hAnsi="Times New Roman"/>
          <w:sz w:val="24"/>
        </w:rPr>
        <w:t>Timperley, H. (2011). *Realizing the power of professional learning*. Open University Press.</w:t>
      </w:r>
    </w:p>
    <w:p>
      <w:pPr>
        <w:spacing w:line="360" w:lineRule="auto" w:after="120"/>
        <w:ind w:hanging="720" w:left="720"/>
      </w:pPr>
      <w:r>
        <w:rPr>
          <w:rFonts w:ascii="Times New Roman" w:hAnsi="Times New Roman"/>
          <w:sz w:val="24"/>
        </w:rPr>
        <w:t>Verster, M., Mentz, E., &amp; du Toit-Brits, C. (2024). Self-directed professional development used as intervention to enhance teachers' curriculum as praxis. *South African Journal of Education*, 44(1), Art. #2346. https://doi.org/10.15700/saje.v44n1a2346</w:t>
      </w:r>
    </w:p>
    <w:p>
      <w:pPr>
        <w:spacing w:line="360" w:lineRule="auto" w:after="120"/>
      </w:pPr>
      <w:r>
        <w:rPr>
          <w:rFonts w:ascii="Times New Roman" w:hAnsi="Times New Roman"/>
          <w:sz w:val="24"/>
        </w:rPr>
        <w:t>ILO. (2021). *Skills development in the time of COVID-19: Taking stock of the initial responses in technical and vocational education and training*. International Labour Organization. https://www.ilo.org/publications/skills-development-time-covid-19</w:t>
      </w:r>
    </w:p>
    <w:p>
      <w:pPr>
        <w:spacing w:line="360" w:lineRule="auto" w:after="120"/>
      </w:pPr>
      <w:r>
        <w:rPr>
          <w:rFonts w:ascii="Times New Roman" w:hAnsi="Times New Roman"/>
          <w:sz w:val="24"/>
        </w:rPr>
        <w:t>Yin, R. K. (2018). *Case study research and applications: Design and methods* (6th ed.). Sage.</w:t>
      </w:r>
    </w:p>
    <w:p>
      <w:pPr>
        <w:spacing w:line="360" w:lineRule="auto" w:after="120"/>
      </w:pPr>
      <w:r>
        <w:rPr>
          <w:rFonts w:ascii="Times New Roman" w:hAnsi="Times New Roman"/>
          <w:sz w:val="24"/>
        </w:rPr>
        <w:t>## Appendix: Declarations for Title Page Only</w:t>
      </w:r>
    </w:p>
    <w:p>
      <w:pPr>
        <w:spacing w:line="360" w:lineRule="auto" w:after="120"/>
      </w:pPr>
      <w:r>
        <w:rPr>
          <w:rFonts w:ascii="Times New Roman" w:hAnsi="Times New Roman"/>
          <w:sz w:val="24"/>
        </w:rPr>
        <w:t>The following information is provided for the Title Page and is not included in the anonymised manuscript body for double-blind review:</w:t>
      </w:r>
    </w:p>
    <w:p>
      <w:pPr>
        <w:spacing w:line="360" w:lineRule="auto" w:after="120"/>
      </w:pPr>
      <w:r>
        <w:rPr>
          <w:rFonts w:ascii="Times New Roman" w:hAnsi="Times New Roman"/>
          <w:sz w:val="24"/>
        </w:rPr>
        <w:t>- **Funding:** This research was supported by institutional teaching reform funds administered by the university research office.</w:t>
      </w:r>
    </w:p>
    <w:p>
      <w:pPr>
        <w:spacing w:line="360" w:lineRule="auto" w:after="120"/>
      </w:pPr>
      <w:r>
        <w:rPr>
          <w:rFonts w:ascii="Times New Roman" w:hAnsi="Times New Roman"/>
          <w:sz w:val="24"/>
        </w:rPr>
        <w:t>- **Conflict of interest:** The authors declare no conflict of interest.</w:t>
      </w:r>
    </w:p>
    <w:p>
      <w:pPr>
        <w:spacing w:line="360" w:lineRule="auto" w:after="120"/>
      </w:pPr>
      <w:r>
        <w:rPr>
          <w:rFonts w:ascii="Times New Roman" w:hAnsi="Times New Roman"/>
          <w:sz w:val="24"/>
        </w:rPr>
        <w:t>- **Ethical clearance:** Ethical approval was obtained from the institutional research ethics committee.</w:t>
      </w:r>
    </w:p>
    <w:p>
      <w:pPr>
        <w:spacing w:line="360" w:lineRule="auto" w:after="120"/>
      </w:pPr>
      <w:r>
        <w:rPr>
          <w:rFonts w:ascii="Times New Roman" w:hAnsi="Times New Roman"/>
          <w:sz w:val="24"/>
        </w:rPr>
        <w:t>- **Author contributions:** The corresponding author conceptualised the study, designed the methodology, conducted data analysis, and drafted the manuscript.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