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Cover Letter</w:t>
      </w:r>
    </w:p>
    <w:p>
      <w:pPr>
        <w:spacing w:after="120"/>
      </w:pPr>
    </w:p>
    <w:p>
      <w:pPr>
        <w:spacing w:after="120"/>
      </w:pPr>
      <w:r>
        <w:rPr>
          <w:rFonts w:ascii="Times New Roman" w:hAnsi="Times New Roman"/>
          <w:sz w:val="24"/>
        </w:rPr>
        <w:t>To: The Editors</w:t>
      </w:r>
    </w:p>
    <w:p>
      <w:pPr>
        <w:spacing w:after="120"/>
      </w:pPr>
      <w:r>
        <w:rPr>
          <w:rFonts w:ascii="Times New Roman" w:hAnsi="Times New Roman"/>
          <w:sz w:val="24"/>
        </w:rPr>
        <w:t>South African Journal of Education</w:t>
      </w:r>
    </w:p>
    <w:p>
      <w:pPr>
        <w:spacing w:after="120"/>
      </w:pPr>
      <w:r>
        <w:rPr>
          <w:rFonts w:ascii="Times New Roman" w:hAnsi="Times New Roman"/>
          <w:sz w:val="24"/>
        </w:rPr>
        <w:t>Education Association of South Africa</w:t>
      </w:r>
    </w:p>
    <w:p>
      <w:pPr>
        <w:spacing w:after="120"/>
      </w:pPr>
      <w:r>
        <w:rPr>
          <w:rFonts w:ascii="Times New Roman" w:hAnsi="Times New Roman"/>
          <w:sz w:val="24"/>
        </w:rPr>
        <w:t>University of Pretoria, Faculty of Education</w:t>
      </w:r>
    </w:p>
    <w:p>
      <w:pPr>
        <w:spacing w:after="120"/>
      </w:pPr>
    </w:p>
    <w:p>
      <w:pPr>
        <w:spacing w:after="120"/>
      </w:pPr>
      <w:r>
        <w:rPr>
          <w:rFonts w:ascii="Times New Roman" w:hAnsi="Times New Roman"/>
          <w:sz w:val="24"/>
        </w:rPr>
        <w:t>Date: June 2026</w:t>
      </w:r>
    </w:p>
    <w:p>
      <w:pPr>
        <w:spacing w:after="120"/>
      </w:pPr>
    </w:p>
    <w:p>
      <w:pPr>
        <w:spacing w:after="120"/>
      </w:pPr>
      <w:r>
        <w:rPr>
          <w:rFonts w:ascii="Times New Roman" w:hAnsi="Times New Roman"/>
          <w:sz w:val="24"/>
        </w:rPr>
        <w:t>RE: Submission of Manuscript — Cross-Disciplinary Teaching in Vocational Colleges: A Self-Directed Model for Teacher Professional Growth</w:t>
      </w:r>
    </w:p>
    <w:p>
      <w:pPr>
        <w:spacing w:after="120"/>
      </w:pPr>
    </w:p>
    <w:p>
      <w:pPr>
        <w:spacing w:after="120"/>
      </w:pPr>
      <w:r>
        <w:rPr>
          <w:rFonts w:ascii="Times New Roman" w:hAnsi="Times New Roman"/>
          <w:sz w:val="24"/>
        </w:rPr>
        <w:t>Dear Editors,</w:t>
      </w:r>
    </w:p>
    <w:p>
      <w:pPr>
        <w:spacing w:after="120"/>
      </w:pPr>
      <w:r>
        <w:rPr>
          <w:rFonts w:ascii="Times New Roman" w:hAnsi="Times New Roman"/>
          <w:sz w:val="24"/>
        </w:rPr>
        <w:t>We submit the above-titled manuscript for consideration for publication in the South African Journal of Education. This work is original, has not been published elsewhere, and is not currently under consideration by any other journal.</w:t>
      </w:r>
    </w:p>
    <w:p>
      <w:pPr>
        <w:spacing w:after="120"/>
      </w:pPr>
    </w:p>
    <w:p>
      <w:pPr>
        <w:spacing w:after="120"/>
      </w:pPr>
      <w:r>
        <w:rPr>
          <w:rFonts w:ascii="Times New Roman" w:hAnsi="Times New Roman"/>
          <w:b/>
          <w:sz w:val="24"/>
        </w:rPr>
        <w:t>Significance and Novelty</w:t>
      </w:r>
    </w:p>
    <w:p>
      <w:pPr>
        <w:spacing w:after="120"/>
      </w:pPr>
      <w:r>
        <w:rPr>
          <w:rFonts w:ascii="Times New Roman" w:hAnsi="Times New Roman"/>
          <w:sz w:val="24"/>
        </w:rPr>
        <w:t>Cross-disciplinary teaching assignments, where vocational instructors must teach outside their formal qualification, constitute a systemic challenge in developing-country education systems. This paper reports the first longitudinal case study tracing a vocational teacher from disciplinary novice to research-active programme leader, facilitated by a zero-cost, self-directed learning model. Three features distinguish this contribution: (1) empirical depth from four years of continuous teaching journals and verifiable institutional outputs; (2) cross-domain evidence from three well-documented auxiliary cases; and (3) policy relevance for developing contexts, particularly the South African TVET college sector and BRICS cooperation framework.</w:t>
      </w:r>
    </w:p>
    <w:p>
      <w:pPr>
        <w:spacing w:after="120"/>
      </w:pPr>
    </w:p>
    <w:p>
      <w:pPr>
        <w:spacing w:after="120"/>
      </w:pPr>
      <w:r>
        <w:rPr>
          <w:rFonts w:ascii="Times New Roman" w:hAnsi="Times New Roman"/>
          <w:b/>
          <w:sz w:val="24"/>
        </w:rPr>
        <w:t>Fit with SAJE</w:t>
      </w:r>
    </w:p>
    <w:p>
      <w:pPr>
        <w:spacing w:after="120"/>
      </w:pPr>
      <w:r>
        <w:rPr>
          <w:rFonts w:ascii="Times New Roman" w:hAnsi="Times New Roman"/>
          <w:sz w:val="24"/>
        </w:rPr>
        <w:t>The manuscript speaks directly to SAJE specified interest in education research characterised by transformation, emerging economy, and scarce resources. The paper engages six SAJE-published articles and traces implications for teacher training policy in developing countries. The focus on professional growth of practising teachers aligns with SAJE scope of accepting research on the training of teachers.</w:t>
      </w:r>
    </w:p>
    <w:p>
      <w:pPr>
        <w:spacing w:after="120"/>
      </w:pPr>
    </w:p>
    <w:p>
      <w:pPr>
        <w:spacing w:after="120"/>
      </w:pPr>
      <w:r>
        <w:rPr>
          <w:rFonts w:ascii="Times New Roman" w:hAnsi="Times New Roman"/>
          <w:b/>
          <w:sz w:val="24"/>
        </w:rPr>
        <w:t>Compliance</w:t>
      </w:r>
    </w:p>
    <w:p>
      <w:pPr>
        <w:spacing w:after="120"/>
      </w:pPr>
      <w:r>
        <w:rPr>
          <w:rFonts w:ascii="Times New Roman" w:hAnsi="Times New Roman"/>
          <w:sz w:val="24"/>
        </w:rPr>
        <w:t>The manuscript has been prepared in accordance with SAJE submission guidelines: the body is anonymised for double-blind review, the Title Page is submitted separately, and all figures and tables are embedded. All 34 references have been verified for authenticity. The manuscript does not exceed 18 typed pages in the specified format.</w:t>
      </w:r>
    </w:p>
    <w:p>
      <w:pPr>
        <w:spacing w:after="120"/>
      </w:pPr>
    </w:p>
    <w:p>
      <w:pPr>
        <w:spacing w:after="120"/>
      </w:pPr>
      <w:r>
        <w:rPr>
          <w:rFonts w:ascii="Times New Roman" w:hAnsi="Times New Roman"/>
          <w:sz w:val="24"/>
        </w:rPr>
        <w:t>We appreciate your consideration and look forward to your response.</w:t>
      </w:r>
    </w:p>
    <w:p>
      <w:pPr>
        <w:spacing w:after="120"/>
      </w:pPr>
    </w:p>
    <w:p>
      <w:pPr>
        <w:spacing w:after="120"/>
      </w:pPr>
      <w:r>
        <w:rPr>
          <w:rFonts w:ascii="Times New Roman" w:hAnsi="Times New Roman"/>
          <w:sz w:val="24"/>
        </w:rPr>
        <w:t>Respectfully,</w:t>
      </w:r>
    </w:p>
    <w:p>
      <w:pPr>
        <w:spacing w:after="120"/>
      </w:pPr>
      <w:r>
        <w:rPr>
          <w:rFonts w:ascii="Times New Roman" w:hAnsi="Times New Roman"/>
          <w:sz w:val="24"/>
        </w:rPr>
        <w:t>Huang Zhengwen (Corresponding Author)</w:t>
      </w:r>
    </w:p>
    <w:p>
      <w:pPr>
        <w:spacing w:after="120"/>
      </w:pPr>
      <w:r>
        <w:rPr>
          <w:rFonts w:ascii="Times New Roman" w:hAnsi="Times New Roman"/>
          <w:sz w:val="24"/>
        </w:rPr>
        <w:t>College of Architecture and Civil Engineering, Chengdu University</w:t>
      </w:r>
    </w:p>
    <w:p>
      <w:pPr>
        <w:spacing w:after="120"/>
      </w:pPr>
      <w:r>
        <w:rPr>
          <w:rFonts w:ascii="Times New Roman" w:hAnsi="Times New Roman"/>
          <w:sz w:val="24"/>
        </w:rPr>
        <w:t>Chengdu 610106, China</w:t>
      </w:r>
    </w:p>
    <w:p>
      <w:pPr>
        <w:spacing w:after="120"/>
      </w:pPr>
      <w:r>
        <w:rPr>
          <w:rFonts w:ascii="Times New Roman" w:hAnsi="Times New Roman"/>
          <w:sz w:val="24"/>
        </w:rPr>
        <w:t>Email: huangzhengwen@cdu.edu.cn</w:t>
      </w:r>
    </w:p>
    <w:p>
      <w:pPr>
        <w:spacing w:after="120"/>
      </w:pPr>
      <w:r>
        <w:rPr>
          <w:rFonts w:ascii="Times New Roman" w:hAnsi="Times New Roman"/>
          <w:sz w:val="24"/>
        </w:rPr>
        <w:t>ORCID: 0009-0006-8724-9432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