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TNR" w:hAnsi="TNR"/>
          <w:b/>
          <w:color w:val="1A3A5C"/>
          <w:sz w:val="28"/>
        </w:rPr>
        <w:t>OBE-Driven Instructional Design Based on the Five-Dimensional Mismatch-Repair Framework: A Case Study of "Solid Waste Pollution Prevention and Control Technology"</w:t>
      </w:r>
    </w:p>
    <w:p>
      <w:pPr>
        <w:spacing w:before="40" w:after="20"/>
        <w:jc w:val="center"/>
      </w:pPr>
      <w:r>
        <w:rPr>
          <w:rFonts w:ascii="TNR" w:hAnsi="TNR"/>
          <w:color w:val="222222"/>
          <w:sz w:val="24"/>
        </w:rPr>
        <w:t>XIE Zeyu¹, ZENG Li², HUANG Zhengwen²\*</w:t>
      </w:r>
    </w:p>
    <w:p>
      <w:pPr>
        <w:spacing w:before="0" w:after="20"/>
        <w:jc w:val="center"/>
      </w:pPr>
      <w:r>
        <w:rPr>
          <w:rFonts w:ascii="TNR" w:hAnsi="TNR"/>
          <w:color w:val="777777"/>
          <w:sz w:val="20"/>
        </w:rPr>
        <w:t>¹ Shinawatra University, Thailand</w:t>
      </w:r>
    </w:p>
    <w:p>
      <w:pPr>
        <w:spacing w:before="0" w:after="20"/>
        <w:jc w:val="center"/>
      </w:pPr>
      <w:r>
        <w:rPr>
          <w:rFonts w:ascii="TNR" w:hAnsi="TNR"/>
          <w:color w:val="777777"/>
          <w:sz w:val="20"/>
        </w:rPr>
        <w:t>² Department of Environmental Engineering, College of Architecture and Civil Engineering, Chengdu University, Chengdu 610106, China</w:t>
      </w:r>
    </w:p>
    <w:p>
      <w:pPr>
        <w:spacing w:before="0" w:after="120"/>
        <w:jc w:val="center"/>
      </w:pPr>
      <w:r>
        <w:rPr>
          <w:rFonts w:ascii="TNR" w:hAnsi="TNR"/>
          <w:color w:val="777777"/>
          <w:sz w:val="20"/>
        </w:rPr>
        <w:t>*Corresponding Author: HUANG Zhengwen</w:t>
      </w:r>
    </w:p>
    <w:p>
      <w:pPr>
        <w:spacing w:before="200" w:after="40"/>
      </w:pPr>
      <w:r>
        <w:rPr>
          <w:rFonts w:ascii="TNR" w:hAnsi="TNR"/>
          <w:b/>
          <w:color w:val="5B9BD5"/>
          <w:sz w:val="24"/>
        </w:rPr>
        <w:t>Abstract</w:t>
      </w:r>
    </w:p>
    <w:p>
      <w:pPr>
        <w:spacing w:before="20" w:after="40"/>
      </w:pPr>
      <w:r>
        <w:rPr>
          <w:rFonts w:ascii="TNR" w:hAnsi="TNR"/>
          <w:color w:val="222222"/>
          <w:sz w:val="24"/>
        </w:rPr>
        <w:t>Outcome-Based Education (OBE) requires instructional design to shift from "what teachers taught" to "what students can do." However, translating abstract course objectives into concrete, operable, and progressively sequenced teaching activities remains an unresolved "last mile" problem in engineering education. This paper takes the graduate course "Solid Waste Pollution Prevention and Control Technology" at Chengdu University as a case study. It systematically expounds the theoretical construction and instructional design application of the Five-Dimensional Mismatch-Repair (FDMR) framework. Centered on the core concept of "mismatch," the framework constructs six sub-frameworks: Spatial Mismatch Five-Dimensions, Siting Justice Four-Dimensions, Technical Mismatch Three-Types, Waste Time Three-Dimensions, Behavioral Mismatch Four-Factors, EPR Mismatch Three-Sources, and Humanistic Mismatch Three-Dimensions. These are ultimately integrated into a Five-Dimensional Unified Diagnostic Matrix (FDUDM) spanning space × technology × behavior × humanistic × time. The paper deduces the dimensional composition, diagnostic criteria, and repair pathways for each sub-framework in detail. It demonstrates the framework-driven eight-week progressive instructional design—from spatial cognition establishment (weeks 1–2) to technical cognition deepening (weeks 3–4), to behavioral cognition expansion (weeks 5–6), to humanistic cognition elevation (week 7), and finally to integrative thinking synthesis (week 8). A bidirectional mapping matrix is established between four OBE course objectives and the eight-week instructional content. The framework design follows the principle that "instructional operability takes precedence over theoretical completeness." Each sub-framework contains three to five dimensions, ensuring that students can complete a full cognitive cycle of "understanding → practice → application" within a two-week period.</w:t>
      </w:r>
    </w:p>
    <w:p>
      <w:pPr>
        <w:spacing w:before="40" w:after="120"/>
      </w:pPr>
      <w:r>
        <w:rPr>
          <w:rFonts w:ascii="TNR" w:hAnsi="TNR"/>
          <w:i/>
          <w:color w:val="777777"/>
          <w:sz w:val="22"/>
        </w:rPr>
        <w:t>Keywords:  OBE; instructional design; Mismatch-Repair Framework; five-dimensional matrix; engineering education; graduate course</w:t>
      </w:r>
    </w:p>
    <w:p>
      <w:pPr>
        <w:spacing w:before="200" w:after="80"/>
      </w:pPr>
      <w:r>
        <w:rPr>
          <w:rFonts w:ascii="TNR" w:hAnsi="TNR"/>
          <w:b/>
          <w:color w:val="1A3A5C"/>
          <w:sz w:val="24"/>
        </w:rPr>
        <w:t>1. Introduction</w:t>
      </w:r>
    </w:p>
    <w:p>
      <w:pPr>
        <w:spacing w:before="20" w:after="40"/>
      </w:pPr>
      <w:r>
        <w:rPr>
          <w:rFonts w:ascii="TNR" w:hAnsi="TNR"/>
          <w:color w:val="222222"/>
          <w:sz w:val="24"/>
        </w:rPr>
        <w:t>Since 2017, China's engineering education accreditation has fully aligned with the Washington Accord, and Outcome-Based Education (OBE) has become the core framework for course design [1]. OBE requires the logical starting point of instructional design to reverse from "what teachers prepare to teach" to "what students should be able to do after learning." This logic extends throughout the entire process, covering course objective formulation, teaching content selection, instructional activity design, and learning outcome evaluation.</w:t>
      </w:r>
    </w:p>
    <w:p>
      <w:pPr>
        <w:spacing w:before="20" w:after="40"/>
      </w:pPr>
      <w:r>
        <w:rPr>
          <w:rFonts w:ascii="TNR" w:hAnsi="TNR"/>
          <w:color w:val="222222"/>
          <w:sz w:val="24"/>
        </w:rPr>
        <w:t>However, in engineering graduate courses, OBE implementation has long faced a "last mile" problem. Course objectives—such as "can analyze multidimensional mismatches in solid waste issues" or "can propose engineering repair solutions"—are abstract. Teaching content must be concrete, specifying "what to teach in week X, which case to use, and what assignment to assign." The mapping between the two is not automatic. An "intermediate layer" framework is needed to translate abstract objectives into operable instructional designs.</w:t>
      </w:r>
    </w:p>
    <w:p>
      <w:pPr>
        <w:spacing w:before="20" w:after="40"/>
      </w:pPr>
      <w:r>
        <w:rPr>
          <w:rFonts w:ascii="TNR" w:hAnsi="TNR"/>
          <w:color w:val="222222"/>
          <w:sz w:val="24"/>
        </w:rPr>
        <w:t>Existing instructional design frameworks—Bloom's Taxonomy of Cognitive Domains [2], the ADDIE Model [3], and Understanding by Design (UbD) [4]—provide universal instructional design methodologies. However, they are insufficient in two dimensions for solving the "last mile" problem in engineering courses. First, they are content-neutral: they do not distinguish the cognitive operations between "analyzing solid waste problems" and "analyzing literary texts." Second, they do not provide domain-specific analytical tools. ADDIE can help design a course structure, but it cannot help determine "how many dimensions spatial mismatch should be divided into for analysis."</w:t>
      </w:r>
    </w:p>
    <w:p>
      <w:pPr>
        <w:spacing w:before="20" w:after="40"/>
      </w:pPr>
      <w:r>
        <w:rPr>
          <w:rFonts w:ascii="TNR" w:hAnsi="TNR"/>
          <w:color w:val="222222"/>
          <w:sz w:val="24"/>
        </w:rPr>
        <w:t>This paper takes the graduate course "Solid Waste Pollution Prevention and Control Technology" at Chengdu University as a case study. It systematically expounds the theoretical construction of the FDMR framework and its application in OBE instructional design. This framework is an original domain-specific instructional design tool created by Professor Huang Zhengwen based on the disciplinary characteristics of solid waste management. It does not replace Bloom's Taxonomy of Cognitive Domains. Rather, it serves as a bridge between Bloom's Taxonomy and specific teaching content.</w:t>
      </w:r>
    </w:p>
    <w:p>
      <w:pPr>
        <w:spacing w:before="200" w:after="80"/>
      </w:pPr>
      <w:r>
        <w:rPr>
          <w:rFonts w:ascii="TNR" w:hAnsi="TNR"/>
          <w:b/>
          <w:color w:val="1A3A5C"/>
          <w:sz w:val="24"/>
        </w:rPr>
        <w:t>2. Theoretical Framework</w:t>
      </w:r>
    </w:p>
    <w:p>
      <w:pPr>
        <w:spacing w:before="20" w:after="40"/>
      </w:pPr>
      <w:r>
        <w:rPr>
          <w:rFonts w:ascii="TNR" w:hAnsi="TNR"/>
          <w:color w:val="222222"/>
          <w:sz w:val="24"/>
        </w:rPr>
        <w:t>### 2.1 Framework Overview: Why "Mismatch"?</w:t>
      </w:r>
    </w:p>
    <w:p>
      <w:pPr>
        <w:spacing w:before="20" w:after="40"/>
      </w:pPr>
      <w:r>
        <w:rPr>
          <w:rFonts w:ascii="TNR" w:hAnsi="TNR"/>
          <w:color w:val="222222"/>
          <w:sz w:val="24"/>
        </w:rPr>
        <w:t>#### 1.1 Interdisciplinary Origins of the "Mismatch" Concept</w:t>
      </w:r>
    </w:p>
    <w:p>
      <w:pPr>
        <w:spacing w:before="20" w:after="40"/>
      </w:pPr>
      <w:r>
        <w:rPr>
          <w:rFonts w:ascii="TNR" w:hAnsi="TNR"/>
          <w:color w:val="222222"/>
          <w:sz w:val="24"/>
        </w:rPr>
        <w:t>"Mismatch" is a classic concept in economics. Resource misallocation refers to production factors failing to flow to their most efficient uses, causing total output to fall below the potential optimum [5]. In urban economics, spatial mismatch refers to the spatial disconnection between employment opportunities and the labor force [6]. In evolutionary biology, evolutionary mismatch refers to the maladaptation between traits shaped by natural selection and the current environment [7].</w:t>
      </w:r>
    </w:p>
    <w:p>
      <w:pPr>
        <w:spacing w:before="20" w:after="40"/>
      </w:pPr>
      <w:r>
        <w:rPr>
          <w:rFonts w:ascii="TNR" w:hAnsi="TNR"/>
          <w:color w:val="222222"/>
          <w:sz w:val="24"/>
        </w:rPr>
        <w:t>The FDMR framework migrates "mismatch" from economics, geography, and biology into the field of solid waste management, assigning it a new epistemological stance. The essence of solid waste problems is not "too much waste." It is "the multidimensional mismatch between humans and waste, between technical solutions and contextual conditions, between behavioral incentives and institutional design, and among social value distributions." The pedagogical significance of this stance lies in providing students with a unified cognitive perspective. It enables them to unify seemingly scattered solid waste knowledge—treatment processes, policy instruments, ethical issues—under a single analytical logic of "diagnose → repair."</w:t>
      </w:r>
    </w:p>
    <w:p>
      <w:pPr>
        <w:spacing w:before="20" w:after="40"/>
      </w:pPr>
      <w:r>
        <w:rPr>
          <w:rFonts w:ascii="TNR" w:hAnsi="TNR"/>
          <w:color w:val="222222"/>
          <w:sz w:val="24"/>
        </w:rPr>
        <w:t>#### 1.2 The Overall–Part–Overall Structure of the Framework</w:t>
      </w:r>
    </w:p>
    <w:p>
      <w:pPr>
        <w:spacing w:before="20" w:after="40"/>
      </w:pPr>
      <w:r>
        <w:rPr>
          <w:rFonts w:ascii="TNR" w:hAnsi="TNR"/>
          <w:color w:val="222222"/>
          <w:sz w:val="24"/>
        </w:rPr>
        <w:t>The FDMR framework adopts a three-tiered "overall–part–overall" structure. The bottom layer consists of six independent sub-frameworks corresponding to spatial mismatch (Spatial Mismatch Five-Dimensions, Siting Justice Four-Dimensions), technical mismatch (Technical Mismatch Three-Types, Waste Time Three-Dimensions), behavioral mismatch (Behavioral Mismatch Four-Factors, EPR Mismatch Three-Sources), and humanistic mismatch (Humanistic Mismatch Three-Dimensions). The time dimension runs through all four cognitive domains. The middle layer contains the progressive logic among sub-frameworks: space → technology → behavior → humanistic. This moves from physical constraints to technological choices to human behavior to social values, with the depth of cognitive processing increasing at each level. The top layer is the Five-Dimensional Unified Diagnostic Matrix (FDUDM), which integrates diagnostic methods and repair pathways across the five dimensions—space, technology, behavior, humanistic, and time—into a single five-column diagnostic table for students to apply during week 8.</w:t>
      </w:r>
    </w:p>
    <w:p>
      <w:pPr>
        <w:spacing w:before="20" w:after="40"/>
      </w:pPr>
      <w:r>
        <w:rPr>
          <w:rFonts w:ascii="TNR" w:hAnsi="TNR"/>
          <w:color w:val="222222"/>
          <w:sz w:val="24"/>
        </w:rPr>
        <w:t>#### 1.3 The "3–5 Dimensions" Design Principle</w:t>
      </w:r>
    </w:p>
    <w:p>
      <w:pPr>
        <w:spacing w:before="20" w:after="40"/>
      </w:pPr>
      <w:r>
        <w:rPr>
          <w:rFonts w:ascii="TNR" w:hAnsi="TNR"/>
          <w:color w:val="222222"/>
          <w:sz w:val="24"/>
        </w:rPr>
        <w:t>The number of dimensions in each sub-framework is limited to three to five. This is not an aesthetic preference; it is based on considerations of instructional operability. A framework with too many dimensions (&gt;7) imposes excessive Cognitive Scaffolding load on students. They would need to simultaneously remember over seven analytical dimensions and apply them to cases one by one. A framework with too few dimensions (2) cannot cover the main analytical perspectives for that mismatch type, leaving its diagnostic power insufficient. The 3–5 range strikes a balance between completeness and operability. Students can complete a full cognitive cycle within a two-week instructional period: "understanding the framework → practicing on cases → independently using the framework to analyze new cases." This principle is applied consistently across the dimensional design of all six sub-frameworks.</w:t>
      </w:r>
    </w:p>
    <w:p>
      <w:pPr>
        <w:spacing w:before="20" w:after="40"/>
      </w:pPr>
      <w:r>
        <w:rPr>
          <w:rFonts w:ascii="TNR" w:hAnsi="TNR"/>
          <w:color w:val="222222"/>
          <w:sz w:val="24"/>
        </w:rPr>
        <w:t>### 2.2 Theoretical Construction of the Six Sub-Frameworks</w:t>
      </w:r>
    </w:p>
    <w:p>
      <w:pPr>
        <w:spacing w:before="20" w:after="40"/>
      </w:pPr>
      <w:r>
        <w:rPr>
          <w:rFonts w:ascii="TNR" w:hAnsi="TNR"/>
          <w:color w:val="222222"/>
          <w:sz w:val="24"/>
        </w:rPr>
        <w:t>#### 2.1 Spatial Mismatch Five-Dimensions (Week 1) and Siting Justice Four-Dimensions (Week 2)</w:t>
      </w:r>
    </w:p>
    <w:p>
      <w:pPr>
        <w:spacing w:before="20" w:after="40"/>
      </w:pPr>
      <w:r>
        <w:rPr>
          <w:rFonts w:ascii="TNR" w:hAnsi="TNR"/>
          <w:color w:val="222222"/>
          <w:sz w:val="24"/>
        </w:rPr>
        <w:t>The Spatial Mismatch Five-Dimensions framework (Fig. 1) defines solid waste facility siting mismatches through five analytical dimensions: Siting Fallacy, Planning Lag, Capacity Imbalance, Transportation Paradox, and Boundary Ambiguity.</w:t>
      </w:r>
    </w:p>
    <w:p>
      <w:pPr>
        <w:jc w:val="center"/>
      </w:pPr>
      <w:r>
        <w:drawing>
          <wp:inline xmlns:a="http://schemas.openxmlformats.org/drawingml/2006/main" xmlns:pic="http://schemas.openxmlformats.org/drawingml/2006/picture">
            <wp:extent cx="5029200" cy="4648612"/>
            <wp:docPr id="7" name="Picture 7"/>
            <wp:cNvGraphicFramePr>
              <a:graphicFrameLocks noChangeAspect="1"/>
            </wp:cNvGraphicFramePr>
            <a:graphic>
              <a:graphicData uri="http://schemas.openxmlformats.org/drawingml/2006/picture">
                <pic:pic>
                  <pic:nvPicPr>
                    <pic:cNvPr id="0" name="P5_fig1.png"/>
                    <pic:cNvPicPr/>
                  </pic:nvPicPr>
                  <pic:blipFill>
                    <a:blip r:embed="rId15"/>
                    <a:stretch>
                      <a:fillRect/>
                    </a:stretch>
                  </pic:blipFill>
                  <pic:spPr>
                    <a:xfrm>
                      <a:off x="0" y="0"/>
                      <a:ext cx="5029200" cy="4648612"/>
                    </a:xfrm>
                    <a:prstGeom prst="rect"/>
                  </pic:spPr>
                </pic:pic>
              </a:graphicData>
            </a:graphic>
          </wp:inline>
        </w:drawing>
      </w:r>
    </w:p>
    <w:p>
      <w:pPr>
        <w:spacing w:before="20" w:after="40"/>
      </w:pPr>
      <w:r>
        <w:rPr>
          <w:rFonts w:ascii="TNR" w:hAnsi="TNR"/>
          <w:color w:val="222222"/>
          <w:sz w:val="24"/>
        </w:rPr>
        <w:t>**Fig. 1** Spatial Mismatch Five-Dimensions Framework</w:t>
      </w:r>
    </w:p>
    <w:p>
      <w:pPr>
        <w:spacing w:before="20" w:after="40"/>
      </w:pPr>
      <w:r>
        <w:rPr>
          <w:rFonts w:ascii="TNR" w:hAnsi="TNR"/>
          <w:color w:val="222222"/>
          <w:sz w:val="24"/>
        </w:rPr>
        <w:t>The Siting Justice Four-Dimensions framework (Fig. 2) assesses siting equity through Geological Bearing Capacity, Environmental Carrying Capacity, Social Acceptability, and Intergenerational Equity.</w:t>
      </w:r>
    </w:p>
    <w:p>
      <w:pPr>
        <w:jc w:val="center"/>
      </w:pPr>
      <w:r>
        <w:drawing>
          <wp:inline xmlns:a="http://schemas.openxmlformats.org/drawingml/2006/main" xmlns:pic="http://schemas.openxmlformats.org/drawingml/2006/picture">
            <wp:extent cx="5029200" cy="4822595"/>
            <wp:docPr id="6" name="Picture 6"/>
            <wp:cNvGraphicFramePr>
              <a:graphicFrameLocks noChangeAspect="1"/>
            </wp:cNvGraphicFramePr>
            <a:graphic>
              <a:graphicData uri="http://schemas.openxmlformats.org/drawingml/2006/picture">
                <pic:pic>
                  <pic:nvPicPr>
                    <pic:cNvPr id="0" name="P5_fig2.png"/>
                    <pic:cNvPicPr/>
                  </pic:nvPicPr>
                  <pic:blipFill>
                    <a:blip r:embed="rId14"/>
                    <a:stretch>
                      <a:fillRect/>
                    </a:stretch>
                  </pic:blipFill>
                  <pic:spPr>
                    <a:xfrm>
                      <a:off x="0" y="0"/>
                      <a:ext cx="5029200" cy="4822595"/>
                    </a:xfrm>
                    <a:prstGeom prst="rect"/>
                  </pic:spPr>
                </pic:pic>
              </a:graphicData>
            </a:graphic>
          </wp:inline>
        </w:drawing>
      </w:r>
    </w:p>
    <w:p>
      <w:pPr>
        <w:spacing w:before="20" w:after="40"/>
      </w:pPr>
      <w:r>
        <w:rPr>
          <w:rFonts w:ascii="TNR" w:hAnsi="TNR"/>
          <w:color w:val="222222"/>
          <w:sz w:val="24"/>
        </w:rPr>
        <w:t>**Fig. 2** Siting Justice Four-Dimensions Framework</w:t>
      </w:r>
    </w:p>
    <w:p>
      <w:pPr>
        <w:spacing w:before="20" w:after="40"/>
      </w:pPr>
      <w:r>
        <w:rPr>
          <w:rFonts w:ascii="TNR" w:hAnsi="TNR"/>
          <w:color w:val="222222"/>
          <w:sz w:val="24"/>
        </w:rPr>
        <w:t>#### 2.2 Technical Mismatch Three-Types (Week 3) and Waste Time Three-Dimensions (Week 4)</w:t>
      </w:r>
    </w:p>
    <w:p>
      <w:pPr>
        <w:spacing w:before="20" w:after="40"/>
      </w:pPr>
      <w:r>
        <w:rPr>
          <w:rFonts w:ascii="TNR" w:hAnsi="TNR"/>
          <w:color w:val="222222"/>
          <w:sz w:val="24"/>
        </w:rPr>
        <w:t>The Technical Mismatch Three-Types framework (Fig. 3) classifies technology–context misalignments into three categories: Over-Engineering, Under-Spec High-Demand, and Directional Error.</w:t>
      </w:r>
    </w:p>
    <w:p>
      <w:pPr>
        <w:jc w:val="center"/>
      </w:pPr>
      <w:r>
        <w:drawing>
          <wp:inline xmlns:a="http://schemas.openxmlformats.org/drawingml/2006/main" xmlns:pic="http://schemas.openxmlformats.org/drawingml/2006/picture">
            <wp:extent cx="5029200" cy="4930909"/>
            <wp:docPr id="5" name="Picture 5"/>
            <wp:cNvGraphicFramePr>
              <a:graphicFrameLocks noChangeAspect="1"/>
            </wp:cNvGraphicFramePr>
            <a:graphic>
              <a:graphicData uri="http://schemas.openxmlformats.org/drawingml/2006/picture">
                <pic:pic>
                  <pic:nvPicPr>
                    <pic:cNvPr id="0" name="P5_fig3.png"/>
                    <pic:cNvPicPr/>
                  </pic:nvPicPr>
                  <pic:blipFill>
                    <a:blip r:embed="rId13"/>
                    <a:stretch>
                      <a:fillRect/>
                    </a:stretch>
                  </pic:blipFill>
                  <pic:spPr>
                    <a:xfrm>
                      <a:off x="0" y="0"/>
                      <a:ext cx="5029200" cy="4930909"/>
                    </a:xfrm>
                    <a:prstGeom prst="rect"/>
                  </pic:spPr>
                </pic:pic>
              </a:graphicData>
            </a:graphic>
          </wp:inline>
        </w:drawing>
      </w:r>
    </w:p>
    <w:p>
      <w:pPr>
        <w:spacing w:before="20" w:after="40"/>
      </w:pPr>
      <w:r>
        <w:rPr>
          <w:rFonts w:ascii="TNR" w:hAnsi="TNR"/>
          <w:color w:val="222222"/>
          <w:sz w:val="24"/>
        </w:rPr>
        <w:t>**Fig. 3** Technical Mismatch Three-Types Framework</w:t>
      </w:r>
    </w:p>
    <w:p>
      <w:pPr>
        <w:spacing w:before="20" w:after="40"/>
      </w:pPr>
      <w:r>
        <w:rPr>
          <w:rFonts w:ascii="TNR" w:hAnsi="TNR"/>
          <w:color w:val="222222"/>
          <w:sz w:val="24"/>
        </w:rPr>
        <w:t>The design of Technical Mismatch Three-Types follows a cognitive logic of "case induction leading to type construction." The instructor does not first present the three types for students to memorize. Instead, four to five cases of domestic and international solid waste technology failures are provided first, including "Qinglong Lake" S004–S005. Students are asked to induce "what categories can the reasons for failure be divided into." The instructor then compares students' inductions with the three-type framework and discusses "what similarities and differences exist between your classification and this framework." This instructional design realizes OBE's core requirement: the framework is presented such that students "discover" it rather than being "told" it.</w:t>
      </w:r>
    </w:p>
    <w:p>
      <w:pPr>
        <w:spacing w:before="20" w:after="40"/>
      </w:pPr>
      <w:r>
        <w:rPr>
          <w:rFonts w:ascii="TNR" w:hAnsi="TNR"/>
          <w:color w:val="222222"/>
          <w:sz w:val="24"/>
        </w:rPr>
        <w:t>The Waste Time Three-Dimensions framework (Fig. 4) is the sixth sub-framework, analyzing temporal efficiency through Process Time, Environmental Benefit Realization Time, and Investment Payback Time.</w:t>
      </w:r>
    </w:p>
    <w:p>
      <w:pPr>
        <w:jc w:val="center"/>
      </w:pPr>
      <w:r>
        <w:drawing>
          <wp:inline xmlns:a="http://schemas.openxmlformats.org/drawingml/2006/main" xmlns:pic="http://schemas.openxmlformats.org/drawingml/2006/picture">
            <wp:extent cx="5029200" cy="4587851"/>
            <wp:docPr id="4" name="Picture 4"/>
            <wp:cNvGraphicFramePr>
              <a:graphicFrameLocks noChangeAspect="1"/>
            </wp:cNvGraphicFramePr>
            <a:graphic>
              <a:graphicData uri="http://schemas.openxmlformats.org/drawingml/2006/picture">
                <pic:pic>
                  <pic:nvPicPr>
                    <pic:cNvPr id="0" name="P5_fig4.png"/>
                    <pic:cNvPicPr/>
                  </pic:nvPicPr>
                  <pic:blipFill>
                    <a:blip r:embed="rId12"/>
                    <a:stretch>
                      <a:fillRect/>
                    </a:stretch>
                  </pic:blipFill>
                  <pic:spPr>
                    <a:xfrm>
                      <a:off x="0" y="0"/>
                      <a:ext cx="5029200" cy="4587851"/>
                    </a:xfrm>
                    <a:prstGeom prst="rect"/>
                  </pic:spPr>
                </pic:pic>
              </a:graphicData>
            </a:graphic>
          </wp:inline>
        </w:drawing>
      </w:r>
    </w:p>
    <w:p>
      <w:pPr>
        <w:spacing w:before="20" w:after="40"/>
      </w:pPr>
      <w:r>
        <w:rPr>
          <w:rFonts w:ascii="TNR" w:hAnsi="TNR"/>
          <w:color w:val="222222"/>
          <w:sz w:val="24"/>
        </w:rPr>
        <w:t>**Fig. 4** Waste Time Three-Dimensions Framework</w:t>
      </w:r>
    </w:p>
    <w:p>
      <w:pPr>
        <w:spacing w:before="20" w:after="40"/>
      </w:pPr>
      <w:r>
        <w:rPr>
          <w:rFonts w:ascii="TNR" w:hAnsi="TNR"/>
          <w:color w:val="222222"/>
          <w:sz w:val="24"/>
        </w:rPr>
        <w:t>#### 2.3 Behavioral Mismatch Four-Factors (Week 5) and EPR Mismatch Three-Sources (Week 6)</w:t>
      </w:r>
    </w:p>
    <w:p>
      <w:pPr>
        <w:spacing w:before="20" w:after="40"/>
      </w:pPr>
      <w:r>
        <w:rPr>
          <w:rFonts w:ascii="TNR" w:hAnsi="TNR"/>
          <w:color w:val="222222"/>
          <w:sz w:val="24"/>
        </w:rPr>
        <w:t>The Behavioral Mismatch Four-Factors framework (Fig. 5) aims to explain why residents' waste sorting behaviors deviate from rational expectations through Cognitive Barrier, Convenience Trap, Social Norm Vacuum, and Feedback Delay.</w:t>
      </w:r>
    </w:p>
    <w:p>
      <w:pPr>
        <w:jc w:val="center"/>
      </w:pPr>
      <w:r>
        <w:drawing>
          <wp:inline xmlns:a="http://schemas.openxmlformats.org/drawingml/2006/main" xmlns:pic="http://schemas.openxmlformats.org/drawingml/2006/picture">
            <wp:extent cx="5029200" cy="4834054"/>
            <wp:docPr id="3" name="Picture 3"/>
            <wp:cNvGraphicFramePr>
              <a:graphicFrameLocks noChangeAspect="1"/>
            </wp:cNvGraphicFramePr>
            <a:graphic>
              <a:graphicData uri="http://schemas.openxmlformats.org/drawingml/2006/picture">
                <pic:pic>
                  <pic:nvPicPr>
                    <pic:cNvPr id="0" name="P5_fig5.png"/>
                    <pic:cNvPicPr/>
                  </pic:nvPicPr>
                  <pic:blipFill>
                    <a:blip r:embed="rId11"/>
                    <a:stretch>
                      <a:fillRect/>
                    </a:stretch>
                  </pic:blipFill>
                  <pic:spPr>
                    <a:xfrm>
                      <a:off x="0" y="0"/>
                      <a:ext cx="5029200" cy="4834054"/>
                    </a:xfrm>
                    <a:prstGeom prst="rect"/>
                  </pic:spPr>
                </pic:pic>
              </a:graphicData>
            </a:graphic>
          </wp:inline>
        </w:drawing>
      </w:r>
    </w:p>
    <w:p>
      <w:pPr>
        <w:spacing w:before="20" w:after="40"/>
      </w:pPr>
      <w:r>
        <w:rPr>
          <w:rFonts w:ascii="TNR" w:hAnsi="TNR"/>
          <w:color w:val="222222"/>
          <w:sz w:val="24"/>
        </w:rPr>
        <w:t>**Fig. 5** Behavioral Mismatch Four-Factors Framework</w:t>
      </w:r>
    </w:p>
    <w:p>
      <w:pPr>
        <w:spacing w:before="20" w:after="40"/>
      </w:pPr>
      <w:r>
        <w:rPr>
          <w:rFonts w:ascii="TNR" w:hAnsi="TNR"/>
          <w:color w:val="222222"/>
          <w:sz w:val="24"/>
        </w:rPr>
        <w:t>The instructional design of the Four-Factors framework follows an "intuition first, framework later" comparative teaching method. Students first use intuition to analyze "why classification efforts are stalled" in "Yangliu Dam and Liujia Cove" S007–S008. The instructor then introduces the Four-Factors framework. Students re-analyze the same case and compare the differences between the two analyses. This comparison allows students to personally experience "what the framework helped you see." The value of the framework does not lie in replacing intuition; it lies in making vague intuition structured, analyzable, and communicable.</w:t>
      </w:r>
    </w:p>
    <w:p>
      <w:pPr>
        <w:spacing w:before="20" w:after="40"/>
      </w:pPr>
      <w:r>
        <w:rPr>
          <w:rFonts w:ascii="TNR" w:hAnsi="TNR"/>
          <w:color w:val="222222"/>
          <w:sz w:val="24"/>
        </w:rPr>
        <w:t>The EPR Mismatch Three-Sources framework extends the analytical perspective from individuals (residents) to institutions (producers). Ambiguous Responsibility Definition concerns who recycles, how much, what the standards are, and who pays. Enforcement Cost Shifting means nominally producers pay, but actually consumers pay through price increases, or no one pays through illegal dumping. Oversight Failure refers to information asymmetry between regulators and producers, leading to "compliance cost &gt; fine × probability of detection." The pedagogical value of the EPR Three-Sources framework lies in helping students see beyond the surface question of "why enterprises are unwilling to take responsibility." It reveals the deeper question: whether the incentive structure designed by policymakers makes compliance a rational choice rather than a moral choice for enterprises.</w:t>
      </w:r>
    </w:p>
    <w:p>
      <w:pPr>
        <w:spacing w:before="20" w:after="40"/>
      </w:pPr>
      <w:r>
        <w:rPr>
          <w:rFonts w:ascii="TNR" w:hAnsi="TNR"/>
          <w:color w:val="222222"/>
          <w:sz w:val="24"/>
        </w:rPr>
        <w:t>#### 2.4 Humanistic Mismatch Three-Dimensions (Week 7)</w:t>
      </w:r>
    </w:p>
    <w:p>
      <w:pPr>
        <w:spacing w:before="20" w:after="40"/>
      </w:pPr>
      <w:r>
        <w:rPr>
          <w:rFonts w:ascii="TNR" w:hAnsi="TNR"/>
          <w:color w:val="222222"/>
          <w:sz w:val="24"/>
        </w:rPr>
        <w:t>The Humanistic Mismatch Three-Dimensions framework (Fig. 6) is the culminating conceptual component of the entire course, addressing social justice dimensions through Distributive Justice Deficiency, Procedural Justice Absence, and Recognition Justice Neglect.</w:t>
      </w:r>
    </w:p>
    <w:p>
      <w:pPr>
        <w:jc w:val="center"/>
      </w:pPr>
      <w:r>
        <w:drawing>
          <wp:inline xmlns:a="http://schemas.openxmlformats.org/drawingml/2006/main" xmlns:pic="http://schemas.openxmlformats.org/drawingml/2006/picture">
            <wp:extent cx="5029200" cy="5040278"/>
            <wp:docPr id="2" name="Picture 2"/>
            <wp:cNvGraphicFramePr>
              <a:graphicFrameLocks noChangeAspect="1"/>
            </wp:cNvGraphicFramePr>
            <a:graphic>
              <a:graphicData uri="http://schemas.openxmlformats.org/drawingml/2006/picture">
                <pic:pic>
                  <pic:nvPicPr>
                    <pic:cNvPr id="0" name="P5_fig6.png"/>
                    <pic:cNvPicPr/>
                  </pic:nvPicPr>
                  <pic:blipFill>
                    <a:blip r:embed="rId10"/>
                    <a:stretch>
                      <a:fillRect/>
                    </a:stretch>
                  </pic:blipFill>
                  <pic:spPr>
                    <a:xfrm>
                      <a:off x="0" y="0"/>
                      <a:ext cx="5029200" cy="5040278"/>
                    </a:xfrm>
                    <a:prstGeom prst="rect"/>
                  </pic:spPr>
                </pic:pic>
              </a:graphicData>
            </a:graphic>
          </wp:inline>
        </w:drawing>
      </w:r>
    </w:p>
    <w:p>
      <w:pPr>
        <w:spacing w:before="20" w:after="40"/>
      </w:pPr>
      <w:r>
        <w:rPr>
          <w:rFonts w:ascii="TNR" w:hAnsi="TNR"/>
          <w:color w:val="222222"/>
          <w:sz w:val="24"/>
        </w:rPr>
        <w:t>**Fig. 6** Humanistic Mismatch Three-Dimensions Framework</w:t>
      </w:r>
    </w:p>
    <w:p>
      <w:pPr>
        <w:spacing w:before="20" w:after="40"/>
      </w:pPr>
      <w:r>
        <w:rPr>
          <w:rFonts w:ascii="TNR" w:hAnsi="TNR"/>
          <w:color w:val="222222"/>
          <w:sz w:val="24"/>
        </w:rPr>
        <w:t>#### 2.5 Five-Dimensional Unified Diagnostic Matrix (Week 8)</w:t>
      </w:r>
    </w:p>
    <w:p>
      <w:pPr>
        <w:spacing w:before="20" w:after="40"/>
      </w:pPr>
      <w:r>
        <w:rPr>
          <w:rFonts w:ascii="TNR" w:hAnsi="TNR"/>
          <w:color w:val="222222"/>
          <w:sz w:val="24"/>
        </w:rPr>
        <w:t>After seven weeks of independent framework instruction, week 8 integrates the six sub-frameworks into a single Five-Dimensional Unified Diagnostic Matrix (FDUDM) (Fig. 7).</w:t>
      </w:r>
    </w:p>
    <w:p>
      <w:pPr>
        <w:jc w:val="center"/>
      </w:pPr>
      <w:r>
        <w:drawing>
          <wp:inline xmlns:a="http://schemas.openxmlformats.org/drawingml/2006/main" xmlns:pic="http://schemas.openxmlformats.org/drawingml/2006/picture">
            <wp:extent cx="5029200" cy="5018122"/>
            <wp:docPr id="1" name="Picture 1"/>
            <wp:cNvGraphicFramePr>
              <a:graphicFrameLocks noChangeAspect="1"/>
            </wp:cNvGraphicFramePr>
            <a:graphic>
              <a:graphicData uri="http://schemas.openxmlformats.org/drawingml/2006/picture">
                <pic:pic>
                  <pic:nvPicPr>
                    <pic:cNvPr id="0" name="P5_fig7.png"/>
                    <pic:cNvPicPr/>
                  </pic:nvPicPr>
                  <pic:blipFill>
                    <a:blip r:embed="rId9"/>
                    <a:stretch>
                      <a:fillRect/>
                    </a:stretch>
                  </pic:blipFill>
                  <pic:spPr>
                    <a:xfrm>
                      <a:off x="0" y="0"/>
                      <a:ext cx="5029200" cy="5018122"/>
                    </a:xfrm>
                    <a:prstGeom prst="rect"/>
                  </pic:spPr>
                </pic:pic>
              </a:graphicData>
            </a:graphic>
          </wp:inline>
        </w:drawing>
      </w:r>
    </w:p>
    <w:p>
      <w:pPr>
        <w:spacing w:before="20" w:after="40"/>
      </w:pPr>
      <w:r>
        <w:rPr>
          <w:rFonts w:ascii="TNR" w:hAnsi="TNR"/>
          <w:color w:val="222222"/>
          <w:sz w:val="24"/>
        </w:rPr>
        <w:t>**Fig. 7** Five-Dimensional Unified Diagnostic Matrix (FDUDM)</w:t>
      </w:r>
    </w:p>
    <w:p>
      <w:pPr>
        <w:spacing w:before="20" w:after="40"/>
      </w:pPr>
      <w:r>
        <w:rPr>
          <w:rFonts w:ascii="TNR" w:hAnsi="TNR"/>
          <w:color w:val="222222"/>
          <w:sz w:val="24"/>
        </w:rPr>
        <w:t>The integration method is not a simple aggregation. It requires students to annotate interaction effects among dimensions—for example, "how spatial mismatch intensifies behavioral mismatch" (a facility is too far away → residents cannot see the treatment process → "sorting is pointless anyway" → behavioral mismatch), and "how technical mismatch amplifies humanistic mismatch" (selecting incineration technology exceeding local operational capacity → elevated emission violation risks → collapsing trust among affected residents → humanistic mismatch). The annotation of interaction effects is the core of five-dimensional integration. It does not ask students merely to "write about all five dimensions"; it requires them to demonstrate causal chains between dimensions. This cognitive operation directly elevates students' thinking from "multi-perspective analysis" to "systematic analysis." The three highest cognitive levels in Bloom's Taxonomy of Cognitive Domains—synthesis → evaluation → creation—are concretized here into a set of operable instructional directives.</w:t>
      </w:r>
    </w:p>
    <w:p>
      <w:pPr>
        <w:spacing w:before="200" w:after="80"/>
      </w:pPr>
      <w:r>
        <w:rPr>
          <w:rFonts w:ascii="TNR" w:hAnsi="TNR"/>
          <w:b/>
          <w:color w:val="1A3A5C"/>
          <w:sz w:val="24"/>
        </w:rPr>
        <w:t>3. Implementation: Framework-Driven Eight-Week Instructional Design</w:t>
      </w:r>
    </w:p>
    <w:p>
      <w:pPr>
        <w:spacing w:before="20" w:after="40"/>
      </w:pPr>
      <w:r>
        <w:rPr>
          <w:rFonts w:ascii="TNR" w:hAnsi="TNR"/>
          <w:color w:val="222222"/>
          <w:sz w:val="24"/>
        </w:rPr>
        <w:t>The timeline, framework distribution, and cognitive progression logic of the eight-week instructional design are presented in Table 1.</w:t>
      </w:r>
    </w:p>
    <w:p>
      <w:pPr>
        <w:spacing w:before="20" w:after="40"/>
      </w:pPr>
      <w:r>
        <w:rPr>
          <w:rFonts w:ascii="TNR" w:hAnsi="TNR"/>
          <w:color w:val="222222"/>
          <w:sz w:val="24"/>
        </w:rPr>
        <w:t>**Table 1** Eight-Week Instructional Design: Timeline, Framework Distribution, and Cognitive Progression</w:t>
      </w:r>
    </w:p>
    <w:p>
      <w:pPr>
        <w:spacing w:before="20" w:after="40"/>
      </w:pPr>
      <w:r>
        <w:rPr>
          <w:rFonts w:ascii="TNR" w:hAnsi="TNR"/>
          <w:color w:val="222222"/>
          <w:sz w:val="24"/>
        </w:rPr>
        <w:t>The design logic of cognitive progression is as follows. A new framework is introduced each week. The cognitive complexity of the frameworks increases progressively each week—from the more easily mastered five-/four-dimension frameworks (weeks 1–2) to the more reflective three-dimension framework (week 7), from physical constraints (space) to social values (humanistic). The cognitive level operations increase weekly as well, progressing from "remembering → understanding" to "analyzing → evaluating → creating." Pedagogical labels—Narrate → Framework → Scenario → Create—form a dual progression structure with Bloom's levels.</w:t>
      </w:r>
    </w:p>
    <w:p>
      <w:pPr>
        <w:spacing w:before="200" w:after="80"/>
      </w:pPr>
      <w:r>
        <w:rPr>
          <w:rFonts w:ascii="TNR" w:hAnsi="TNR"/>
          <w:b/>
          <w:color w:val="1A3A5C"/>
          <w:sz w:val="24"/>
        </w:rPr>
        <w:t>4. Results: OBE Course Objective–Teaching Content Mapping</w:t>
      </w:r>
    </w:p>
    <w:p>
      <w:pPr>
        <w:spacing w:before="20" w:after="40"/>
      </w:pPr>
      <w:r>
        <w:rPr>
          <w:rFonts w:ascii="TNR" w:hAnsi="TNR"/>
          <w:color w:val="222222"/>
          <w:sz w:val="24"/>
        </w:rPr>
        <w:t>The mapping relationship between the four OBE course objectives and the eight-week teaching content provides the most direct evidence of the framework's effectiveness.</w:t>
      </w:r>
    </w:p>
    <w:p>
      <w:pPr>
        <w:spacing w:before="20" w:after="40"/>
      </w:pPr>
      <w:r>
        <w:rPr>
          <w:rFonts w:ascii="TNR" w:hAnsi="TNR"/>
          <w:color w:val="222222"/>
          <w:sz w:val="24"/>
        </w:rPr>
        <w:t>The function of each sub-framework in teaching is not "independently serving a single OBE objective"; rather, it is "primarily serving one objective while simultaneously supporting others." Take Siting Justice Four-Dimensions (week 2) as an example. Its primary service targets are objectives ② and ③. The Social Acceptability and Intergenerational Equity dimensions directly train students to "incorporate engineering ethics and social dimensions." At the same time, it also lays groundwork for objective ①: when students learn "how to evaluate the justice of siting," they are simultaneously learning "how to analyze the spatial dimension mismatch of solid waste issues."</w:t>
      </w:r>
    </w:p>
    <w:p>
      <w:pPr>
        <w:spacing w:before="200" w:after="80"/>
      </w:pPr>
      <w:r>
        <w:rPr>
          <w:rFonts w:ascii="TNR" w:hAnsi="TNR"/>
          <w:b/>
          <w:color w:val="1A3A5C"/>
          <w:sz w:val="24"/>
        </w:rPr>
        <w:t>5. Discussion</w:t>
      </w:r>
    </w:p>
    <w:p>
      <w:pPr>
        <w:spacing w:before="20" w:after="40"/>
      </w:pPr>
      <w:r>
        <w:rPr>
          <w:rFonts w:ascii="TNR" w:hAnsi="TNR"/>
          <w:color w:val="222222"/>
          <w:sz w:val="24"/>
        </w:rPr>
        <w:t>The universal transferability of the FDMR framework requires answering a key question: how many of the six sub-frameworks are specific to solid waste management? The Waste Time Three-Dimensions concept was originally created within the solid waste course. Its direct transfer requires the target course to have a similar "temporal preference of technology" problem—for example, "the delayed environmental benefit realization of photovoltaic panel recycling" in the new energy field. The five dimensions of Spatial Mismatch Five-Dimensions—Siting Fallacy, Planning Lag, Capacity Imbalance, Transportation Paradox, and Boundary Ambiguity—can be directly used or adapted in other engineering courses involving spatial siting. Siting Justice Four-Dimensions, Technical Mismatch Three-Types, Behavioral Mismatch Four-Factors, EPR Mismatch Three-Sources, and Humanistic Mismatch Three-Dimensions have high cross-course applicability. Their underlying analytical logics—fairness, suitability, behavioral incentives, institutional equity, social justice—are universal issues in engineering practice.</w:t>
      </w:r>
    </w:p>
    <w:p>
      <w:pPr>
        <w:spacing w:before="20" w:after="40"/>
      </w:pPr>
      <w:r>
        <w:rPr>
          <w:rFonts w:ascii="TNR" w:hAnsi="TNR"/>
          <w:color w:val="222222"/>
          <w:sz w:val="24"/>
        </w:rPr>
        <w:t>The openness of the framework itself is also a design choice worth discussing. In the "Create" dimension of instruction—particularly in Track A of the Three-Track Course Completion Output (course papers)—students are required to discuss a "sixth dimension" not yet covered by the framework. This requirement is not a formalistic "offer two improvement suggestions"; it is a reflexive questioning of the framework's design logic. Does the framework, by limiting its dimensions, actually obscure certain important analytical perspectives? Some students proposed in their course papers that "institutional space" should be treated as an independent dimension, referring to institutional mismatches across administrative boundaries—for example, two neighboring cities planning their solid waste facilities entirely independently, leading to redundant facility construction or service coverage gaps. This feedback suggests that the "five" in "five-dimensional integration" is a choice based on instructional operability, not a claim based on ontological completeness. The framework should remain open to expansion and revision.</w:t>
      </w:r>
    </w:p>
    <w:p>
      <w:pPr>
        <w:spacing w:before="200" w:after="80"/>
      </w:pPr>
      <w:r>
        <w:rPr>
          <w:rFonts w:ascii="TNR" w:hAnsi="TNR"/>
          <w:b/>
          <w:color w:val="1A3A5C"/>
          <w:sz w:val="24"/>
        </w:rPr>
        <w:t>6. Conclusion</w:t>
      </w:r>
    </w:p>
    <w:p>
      <w:pPr>
        <w:spacing w:before="20" w:after="40"/>
      </w:pPr>
      <w:r>
        <w:rPr>
          <w:rFonts w:ascii="TNR" w:hAnsi="TNR"/>
          <w:color w:val="222222"/>
          <w:sz w:val="24"/>
        </w:rPr>
        <w:t>This paper proposes the Five-Dimensional Mismatch-Repair framework—a domain-specific instructional design tool customized for engineering graduate courses and driven by OBE principles. The framework makes three core contributions. First, it takes "mismatch" as the core concept, unifying solid waste management issues under the epistemological framework of "diagnose → repair." Second, it constructs six sub-frameworks—Spatial Mismatch Five-Dimensions, Siting Justice Four-Dimensions, Technical Mismatch Three-Types, Waste Time Three-Dimensions, Behavioral Mismatch Four-Factors, EPR Mismatch Three-Sources, and Humanistic Mismatch Three-Dimensions. Each sub-framework contains three to five dimensions, ensuring a balance between instructional operability (students can master them within two weeks) and cognitive completeness. Third, through the Five-Dimensional Unified Diagnostic Matrix, independently taught frameworks are integrated into a comprehensive diagnostic tool. Students are required to annotate interaction effects among dimensions, concretizing systematic thinking training into a set of operable directives.</w:t>
      </w:r>
    </w:p>
    <w:p>
      <w:pPr>
        <w:spacing w:before="20" w:after="40"/>
      </w:pPr>
      <w:r>
        <w:rPr>
          <w:rFonts w:ascii="TNR" w:hAnsi="TNR"/>
          <w:color w:val="222222"/>
          <w:sz w:val="24"/>
        </w:rPr>
        <w:t>The framework design follows the principle that "instructional operability takes precedence over theoretical completeness." The number of dimensions in the six sub-frameworks is not derived from ontological analysis; it is derived from the Cognitive Scaffolding load constraints of an eight-week instructional cycle. This principle means the framework itself is revisable. When a sub-framework's dimension count is insufficient to cover instructional needs, or when new Narrative material exposes analytical perspectives not included in the framework, the framework should be iterated rather than rigidly maintained.</w:t>
      </w:r>
    </w:p>
    <w:p>
      <w:pPr>
        <w:spacing w:before="280" w:after="120"/>
      </w:pPr>
      <w:r>
        <w:rPr>
          <w:rFonts w:ascii="TNR" w:hAnsi="TNR"/>
          <w:b/>
          <w:color w:val="5B9BD5"/>
          <w:sz w:val="24"/>
        </w:rPr>
        <w:t>References</w:t>
      </w:r>
    </w:p>
    <w:p>
      <w:pPr>
        <w:spacing w:before="20" w:after="20"/>
      </w:pPr>
      <w:r>
        <w:rPr>
          <w:rFonts w:ascii="TNR" w:hAnsi="TNR"/>
          <w:color w:val="222222"/>
          <w:sz w:val="22"/>
        </w:rPr>
        <w:t>[1] China Engineering Education Accreditation Association. Engineering Education Accreditation Standards (2024 Edition) [Z]. 2024.</w:t>
      </w:r>
    </w:p>
    <w:p>
      <w:pPr>
        <w:spacing w:before="20" w:after="20"/>
      </w:pPr>
      <w:r>
        <w:rPr>
          <w:rFonts w:ascii="TNR" w:hAnsi="TNR"/>
          <w:color w:val="222222"/>
          <w:sz w:val="22"/>
        </w:rPr>
        <w:t>[2] ANDERSON L W, KRATHWOHL D R. A Taxonomy for Learning, Teaching, and Assessing: A Revision of Bloom's Taxonomy of Educational Objectives [M]. New York: Longman, 2001.</w:t>
      </w:r>
    </w:p>
    <w:p>
      <w:pPr>
        <w:spacing w:before="20" w:after="20"/>
      </w:pPr>
      <w:r>
        <w:rPr>
          <w:rFonts w:ascii="TNR" w:hAnsi="TNR"/>
          <w:color w:val="222222"/>
          <w:sz w:val="22"/>
        </w:rPr>
        <w:t>[3] BRANCH R M. Instructional Design: The ADDIE Approach [M]. New York: Springer, 2009.</w:t>
      </w:r>
    </w:p>
    <w:p>
      <w:pPr>
        <w:spacing w:before="20" w:after="20"/>
      </w:pPr>
      <w:r>
        <w:rPr>
          <w:rFonts w:ascii="TNR" w:hAnsi="TNR"/>
          <w:color w:val="222222"/>
          <w:sz w:val="22"/>
        </w:rPr>
        <w:t>[4] WIGGINS G, MCTIGHE J. Understanding by Design [M]. 2nd ed. Alexandria: ASCD, 2005.</w:t>
      </w:r>
    </w:p>
    <w:p>
      <w:pPr>
        <w:spacing w:before="20" w:after="20"/>
      </w:pPr>
      <w:r>
        <w:rPr>
          <w:rFonts w:ascii="TNR" w:hAnsi="TNR"/>
          <w:color w:val="222222"/>
          <w:sz w:val="22"/>
        </w:rPr>
        <w:t>[5] HSIEH C T, KLENOW P J. Misallocation and Manufacturing TFP in China and India [J]. Quarterly Journal of Economics, 2009, 124(4): 1403–1448.</w:t>
      </w:r>
    </w:p>
    <w:p>
      <w:pPr>
        <w:spacing w:before="20" w:after="20"/>
      </w:pPr>
      <w:r>
        <w:rPr>
          <w:rFonts w:ascii="TNR" w:hAnsi="TNR"/>
          <w:color w:val="222222"/>
          <w:sz w:val="22"/>
        </w:rPr>
        <w:t>[6] KAIN J F. Housing Segregation, Negro Employment, and Metropolitan Decentralization [J]. Quarterly Journal of Economics, 1968, 82(2): 175–197.</w:t>
      </w:r>
    </w:p>
    <w:p>
      <w:pPr>
        <w:spacing w:before="20" w:after="20"/>
      </w:pPr>
      <w:r>
        <w:rPr>
          <w:rFonts w:ascii="TNR" w:hAnsi="TNR"/>
          <w:color w:val="222222"/>
          <w:sz w:val="22"/>
        </w:rPr>
        <w:t>[7] GLUCKMAN P, HANSON M. Mismatch: Why Our World No Longer Fits Our Bodies [M]. Oxford: Oxford University Press, 2006.</w:t>
      </w:r>
    </w:p>
    <w:p>
      <w:pPr>
        <w:spacing w:before="20" w:after="20"/>
      </w:pPr>
      <w:r>
        <w:rPr>
          <w:rFonts w:ascii="TNR" w:hAnsi="TNR"/>
          <w:color w:val="222222"/>
          <w:sz w:val="22"/>
        </w:rPr>
        <w:t>[8] HUANG Zhengwen. Self-Compiled Lecture Notes on Solid Waste Pollution Prevention and Control Technology for Graduate Students (2025 Edition) [Z]. Chengdu University, 2025.</w:t>
      </w:r>
    </w:p>
    <w:p>
      <w:pPr>
        <w:spacing w:before="20" w:after="20"/>
      </w:pPr>
      <w:r>
        <w:rPr>
          <w:rFonts w:ascii="TNR" w:hAnsi="TNR"/>
          <w:color w:val="222222"/>
          <w:sz w:val="22"/>
        </w:rPr>
        <w:t>[9] SPADY W G. Outcome-Based Education: Critical Issues and Answers [M]. Arlington: American Association of School Administrators, 1994.</w:t>
      </w:r>
    </w:p>
    <w:p>
      <w:pPr>
        <w:spacing w:before="20" w:after="20"/>
      </w:pPr>
      <w:r>
        <w:rPr>
          <w:rFonts w:ascii="TNR" w:hAnsi="TNR"/>
          <w:color w:val="222222"/>
          <w:sz w:val="22"/>
        </w:rPr>
        <w:t>[10] HUANG Zhengwen. Inclusive Education Consultation: Documentary Network Novel Series on the Secrets to Changing Destiny Through Reading (Seven Volumes, S001–S021 Instructional Excerpts) [M/OL]. QQ Reading / 17K Literature.</w:t>
      </w:r>
    </w:p>
    <w:p>
      <w:pPr>
        <w:spacing w:before="20" w:after="20"/>
      </w:pPr>
      <w:r>
        <w:rPr>
          <w:rFonts w:ascii="TNR" w:hAnsi="TNR"/>
          <w:color w:val="222222"/>
          <w:sz w:val="22"/>
        </w:rPr>
        <w:t>---</w:t>
      </w:r>
    </w:p>
    <w:p>
      <w:pPr>
        <w:spacing w:before="20" w:after="20"/>
      </w:pPr>
      <w:r>
        <w:rPr>
          <w:rFonts w:ascii="TNR" w:hAnsi="TNR"/>
          <w:color w:val="222222"/>
          <w:sz w:val="22"/>
        </w:rPr>
        <w:t>**Received**: 2026-05-25</w:t>
      </w:r>
    </w:p>
    <w:p>
      <w:pPr>
        <w:spacing w:before="20" w:after="20"/>
      </w:pPr>
      <w:r>
        <w:rPr>
          <w:rFonts w:ascii="TNR" w:hAnsi="TNR"/>
          <w:color w:val="222222"/>
          <w:sz w:val="22"/>
        </w:rPr>
        <w:t>**Revised**: TBD</w:t>
      </w:r>
    </w:p>
    <w:p>
      <w:pPr>
        <w:spacing w:before="20" w:after="20"/>
      </w:pPr>
      <w:r>
        <w:rPr>
          <w:rFonts w:ascii="TNR" w:hAnsi="TNR"/>
          <w:color w:val="222222"/>
          <w:sz w:val="22"/>
        </w:rPr>
        <w:t>**Funding**: Chengdu University Excellent Course Construction Project</w:t>
      </w:r>
    </w:p>
    <w:p>
      <w:pPr>
        <w:spacing w:before="20" w:after="20"/>
      </w:pPr>
      <w:r>
        <w:rPr>
          <w:rFonts w:ascii="TNR" w:hAnsi="TNR"/>
          <w:color w:val="222222"/>
          <w:sz w:val="22"/>
        </w:rPr>
        <w:t>**Author Biography**: HUANG Zhengwen (19XX–), male, professor, master's supervisor, research direction: inclusive education on resources and environment. E-mail: xxxx@cdu.edu.cn.</w:t>
      </w:r>
    </w:p>
    <w:p>
      <w:pPr>
        <w:spacing w:before="20" w:after="20"/>
      </w:pPr>
      <w:r>
        <w:rPr>
          <w:rFonts w:ascii="TNR" w:hAnsi="TNR"/>
          <w:color w:val="222222"/>
          <w:sz w:val="22"/>
        </w:rPr>
        <w:t>**Declaration of Competing Interest**: None.</w:t>
      </w:r>
    </w:p>
    <w:p>
      <w:r>
        <w:br w:type="page"/>
      </w:r>
    </w:p>
    <w:p>
      <w:pPr>
        <w:spacing w:before="400" w:after="240"/>
        <w:jc w:val="center"/>
      </w:pPr>
      <w:r>
        <w:rPr>
          <w:rFonts w:ascii="TNR" w:hAnsi="TNR"/>
          <w:b/>
          <w:color w:val="1A3A5C"/>
          <w:sz w:val="28"/>
        </w:rPr>
        <w:t>SUBMISSION INFORMATION</w:t>
      </w:r>
    </w:p>
    <w:p>
      <w:pPr>
        <w:spacing w:before="40" w:after="40"/>
      </w:pPr>
      <w:r>
        <w:rPr>
          <w:rFonts w:ascii="Times New Roman" w:hAnsi="Times New Roman"/>
          <w:b/>
          <w:color w:val="5B9BD5"/>
          <w:sz w:val="22"/>
        </w:rPr>
        <w:t xml:space="preserve">TARGET JOURNAL (PRIMARY): </w:t>
      </w:r>
      <w:r>
        <w:rPr>
          <w:rFonts w:ascii="Times New Roman" w:hAnsi="Times New Roman"/>
          <w:color w:val="222222"/>
          <w:sz w:val="22"/>
        </w:rPr>
        <w:t>Journal of Technical Education and Training (JTET)</w:t>
      </w:r>
    </w:p>
    <w:p>
      <w:pPr>
        <w:spacing w:before="40" w:after="40"/>
      </w:pPr>
      <w:r>
        <w:rPr>
          <w:rFonts w:ascii="Times New Roman" w:hAnsi="Times New Roman"/>
          <w:b/>
          <w:color w:val="5B9BD5"/>
          <w:sz w:val="22"/>
        </w:rPr>
        <w:t xml:space="preserve">Country: </w:t>
      </w:r>
      <w:r>
        <w:rPr>
          <w:rFonts w:ascii="Times New Roman" w:hAnsi="Times New Roman"/>
          <w:color w:val="222222"/>
          <w:sz w:val="22"/>
        </w:rPr>
        <w:t>Malaysia</w:t>
      </w:r>
    </w:p>
    <w:p>
      <w:pPr>
        <w:spacing w:before="40" w:after="40"/>
      </w:pPr>
      <w:r>
        <w:rPr>
          <w:rFonts w:ascii="Times New Roman" w:hAnsi="Times New Roman"/>
          <w:b/>
          <w:color w:val="5B9BD5"/>
          <w:sz w:val="22"/>
        </w:rPr>
        <w:t xml:space="preserve">Publisher: </w:t>
      </w:r>
      <w:r>
        <w:rPr>
          <w:rFonts w:ascii="Times New Roman" w:hAnsi="Times New Roman"/>
          <w:color w:val="222222"/>
          <w:sz w:val="22"/>
        </w:rPr>
        <w:t>UTHM Press, Universiti Tun Hussein Onn Malaysia</w:t>
      </w:r>
    </w:p>
    <w:p>
      <w:pPr>
        <w:spacing w:before="40" w:after="40"/>
      </w:pPr>
      <w:r>
        <w:rPr>
          <w:rFonts w:ascii="Times New Roman" w:hAnsi="Times New Roman"/>
          <w:b/>
          <w:color w:val="5B9BD5"/>
          <w:sz w:val="22"/>
        </w:rPr>
        <w:t xml:space="preserve">ISSN: </w:t>
      </w:r>
      <w:r>
        <w:rPr>
          <w:rFonts w:ascii="Times New Roman" w:hAnsi="Times New Roman"/>
          <w:color w:val="222222"/>
          <w:sz w:val="22"/>
        </w:rPr>
        <w:t>2229-8932</w:t>
      </w:r>
    </w:p>
    <w:p>
      <w:pPr>
        <w:spacing w:before="40" w:after="40"/>
      </w:pPr>
      <w:r>
        <w:rPr>
          <w:rFonts w:ascii="Times New Roman" w:hAnsi="Times New Roman"/>
          <w:b/>
          <w:color w:val="5B9BD5"/>
          <w:sz w:val="22"/>
        </w:rPr>
        <w:t xml:space="preserve">Scopus Quartile: </w:t>
      </w:r>
      <w:r>
        <w:rPr>
          <w:rFonts w:ascii="Times New Roman" w:hAnsi="Times New Roman"/>
          <w:color w:val="222222"/>
          <w:sz w:val="22"/>
        </w:rPr>
        <w:t>Q3</w:t>
      </w:r>
    </w:p>
    <w:p>
      <w:pPr>
        <w:spacing w:before="40" w:after="40"/>
      </w:pPr>
      <w:r>
        <w:rPr>
          <w:rFonts w:ascii="Times New Roman" w:hAnsi="Times New Roman"/>
          <w:b/>
          <w:color w:val="5B9BD5"/>
          <w:sz w:val="22"/>
        </w:rPr>
        <w:t xml:space="preserve">Indexing: </w:t>
      </w:r>
      <w:r>
        <w:rPr>
          <w:rFonts w:ascii="Times New Roman" w:hAnsi="Times New Roman"/>
          <w:color w:val="222222"/>
          <w:sz w:val="22"/>
        </w:rPr>
        <w:t>Scopus, MyCite, Google Scholar</w:t>
      </w:r>
    </w:p>
    <w:p>
      <w:pPr>
        <w:spacing w:before="40" w:after="40"/>
      </w:pPr>
      <w:r>
        <w:rPr>
          <w:rFonts w:ascii="Times New Roman" w:hAnsi="Times New Roman"/>
          <w:b/>
          <w:color w:val="5B9BD5"/>
          <w:sz w:val="22"/>
        </w:rPr>
        <w:t xml:space="preserve">Submission URL: </w:t>
      </w:r>
      <w:r>
        <w:rPr>
          <w:rFonts w:ascii="Times New Roman" w:hAnsi="Times New Roman"/>
          <w:color w:val="222222"/>
          <w:sz w:val="22"/>
        </w:rPr>
        <w:t>https://publisher.uthm.edu.my/ojs/index.php/JTET/</w:t>
      </w:r>
    </w:p>
    <w:p>
      <w:pPr>
        <w:spacing w:before="40" w:after="40"/>
      </w:pPr>
      <w:r>
        <w:rPr>
          <w:rFonts w:ascii="Times New Roman" w:hAnsi="Times New Roman"/>
          <w:b/>
          <w:color w:val="5B9BD5"/>
          <w:sz w:val="22"/>
        </w:rPr>
        <w:t xml:space="preserve">Reference Style: </w:t>
      </w:r>
      <w:r>
        <w:rPr>
          <w:rFonts w:ascii="Times New Roman" w:hAnsi="Times New Roman"/>
          <w:color w:val="222222"/>
          <w:sz w:val="22"/>
        </w:rPr>
        <w:t>APA 6th</w:t>
      </w:r>
    </w:p>
    <w:p>
      <w:pPr>
        <w:spacing w:before="40" w:after="40"/>
      </w:pPr>
      <w:r>
        <w:rPr>
          <w:rFonts w:ascii="Times New Roman" w:hAnsi="Times New Roman"/>
          <w:b/>
          <w:color w:val="5B9BD5"/>
          <w:sz w:val="22"/>
        </w:rPr>
        <w:t xml:space="preserve">Line Spacing: </w:t>
      </w:r>
      <w:r>
        <w:rPr>
          <w:rFonts w:ascii="Times New Roman" w:hAnsi="Times New Roman"/>
          <w:color w:val="222222"/>
          <w:sz w:val="22"/>
        </w:rPr>
        <w:t>1.5</w:t>
      </w:r>
    </w:p>
    <w:p>
      <w:pPr>
        <w:spacing w:before="40" w:after="40"/>
      </w:pPr>
      <w:r>
        <w:rPr>
          <w:rFonts w:ascii="Times New Roman" w:hAnsi="Times New Roman"/>
          <w:b/>
          <w:color w:val="5B9BD5"/>
          <w:sz w:val="22"/>
        </w:rPr>
        <w:t xml:space="preserve">Abstract: </w:t>
      </w:r>
      <w:r>
        <w:rPr>
          <w:rFonts w:ascii="Times New Roman" w:hAnsi="Times New Roman"/>
          <w:color w:val="222222"/>
          <w:sz w:val="22"/>
        </w:rPr>
        <w:t>150-250 words</w:t>
      </w:r>
    </w:p>
    <w:p>
      <w:pPr>
        <w:spacing w:before="40" w:after="40"/>
      </w:pPr>
      <w:r>
        <w:rPr>
          <w:rFonts w:ascii="Times New Roman" w:hAnsi="Times New Roman"/>
          <w:b/>
          <w:color w:val="5B9BD5"/>
          <w:sz w:val="22"/>
        </w:rPr>
        <w:t xml:space="preserve">Keywords: </w:t>
      </w:r>
      <w:r>
        <w:rPr>
          <w:rFonts w:ascii="Times New Roman" w:hAnsi="Times New Roman"/>
          <w:color w:val="222222"/>
          <w:sz w:val="22"/>
        </w:rPr>
        <w:t>3-6</w:t>
      </w:r>
    </w:p>
    <w:p>
      <w:pPr>
        <w:spacing w:before="40" w:after="40"/>
      </w:pPr>
      <w:r>
        <w:rPr>
          <w:rFonts w:ascii="Times New Roman" w:hAnsi="Times New Roman"/>
          <w:b/>
          <w:color w:val="5B9BD5"/>
          <w:sz w:val="22"/>
        </w:rPr>
        <w:t xml:space="preserve">Review Type: </w:t>
      </w:r>
      <w:r>
        <w:rPr>
          <w:rFonts w:ascii="Times New Roman" w:hAnsi="Times New Roman"/>
          <w:color w:val="222222"/>
          <w:sz w:val="22"/>
        </w:rPr>
        <w:t>Double-blind</w:t>
      </w:r>
    </w:p>
    <w:p>
      <w:pPr>
        <w:spacing w:before="40" w:after="40"/>
      </w:pPr>
      <w:r>
        <w:rPr>
          <w:rFonts w:ascii="Times New Roman" w:hAnsi="Times New Roman"/>
          <w:b/>
          <w:color w:val="5B9BD5"/>
          <w:sz w:val="22"/>
        </w:rPr>
        <w:t xml:space="preserve">APC: </w:t>
      </w:r>
      <w:r>
        <w:rPr>
          <w:rFonts w:ascii="Times New Roman" w:hAnsi="Times New Roman"/>
          <w:color w:val="222222"/>
          <w:sz w:val="22"/>
        </w:rPr>
        <w:t>Free</w:t>
      </w:r>
    </w:p>
    <w:p>
      <w:pPr>
        <w:spacing w:before="40" w:after="40"/>
      </w:pPr>
      <w:r>
        <w:rPr>
          <w:rFonts w:ascii="Times New Roman" w:hAnsi="Times New Roman"/>
          <w:b/>
          <w:color w:val="5B9BD5"/>
          <w:sz w:val="22"/>
        </w:rPr>
        <w:t xml:space="preserve">Frequency: </w:t>
      </w:r>
      <w:r>
        <w:rPr>
          <w:rFonts w:ascii="Times New Roman" w:hAnsi="Times New Roman"/>
          <w:color w:val="222222"/>
          <w:sz w:val="22"/>
        </w:rPr>
        <w:t>4 issues/year</w:t>
      </w:r>
    </w:p>
    <w:p>
      <w:pPr>
        <w:spacing w:before="280" w:after="80"/>
      </w:pPr>
      <w:r>
        <w:rPr>
          <w:rFonts w:ascii="TNR" w:hAnsi="TNR"/>
          <w:color w:val="222222"/>
          <w:sz w:val="12"/>
        </w:rPr>
      </w:r>
    </w:p>
    <w:p>
      <w:pPr>
        <w:spacing w:before="200" w:after="40"/>
      </w:pPr>
      <w:r>
        <w:rPr>
          <w:rFonts w:ascii="TNR" w:hAnsi="TNR"/>
          <w:b/>
          <w:color w:val="5B9BD5"/>
          <w:sz w:val="24"/>
        </w:rPr>
        <w:t>BACKUP JOURNAL</w:t>
      </w:r>
    </w:p>
    <w:p>
      <w:r>
        <w:rPr>
          <w:color w:val="222222"/>
          <w:sz w:val="22"/>
        </w:rPr>
        <w:t>Asia-Pacific Journal of Education (APJE) (Singapore)</w:t>
      </w:r>
    </w:p>
    <w:p>
      <w:pPr>
        <w:spacing w:before="0" w:after="80"/>
      </w:pPr>
      <w:r>
        <w:rPr>
          <w:rFonts w:ascii="TNR" w:hAnsi="TNR"/>
          <w:color w:val="777777"/>
          <w:sz w:val="20"/>
        </w:rPr>
        <w:t>URL: https://www.tandfonline.com/journals/cape20</w:t>
      </w:r>
    </w:p>
    <w:p>
      <w:pPr>
        <w:spacing w:before="280" w:after="80"/>
      </w:pPr>
      <w:r>
        <w:rPr>
          <w:rFonts w:ascii="TNR" w:hAnsi="TNR"/>
          <w:color w:val="222222"/>
          <w:sz w:val="12"/>
        </w:rPr>
      </w:r>
    </w:p>
    <w:p>
      <w:pPr>
        <w:spacing w:before="200" w:after="40"/>
      </w:pPr>
      <w:r>
        <w:rPr>
          <w:rFonts w:ascii="TNR" w:hAnsi="TNR"/>
          <w:b/>
          <w:color w:val="5B9BD5"/>
          <w:sz w:val="24"/>
        </w:rPr>
        <w:t>SUBMISSION NOTES</w:t>
      </w:r>
    </w:p>
    <w:p>
      <w:pPr>
        <w:spacing w:before="0" w:after="40"/>
      </w:pPr>
      <w:r>
        <w:rPr>
          <w:rFonts w:ascii="TNR" w:hAnsi="TNR"/>
          <w:color w:val="777777"/>
          <w:sz w:val="20"/>
        </w:rPr>
        <w:t>- Authors listed as: XIE Zeyu (Shinawatra University), Co-author (Chengdu University), HUANG Zhengwen* (Corresponding Author, Chengdu University)</w:t>
      </w:r>
    </w:p>
    <w:p>
      <w:pPr>
        <w:spacing w:before="0" w:after="40"/>
      </w:pPr>
      <w:r>
        <w:rPr>
          <w:rFonts w:ascii="TNR" w:hAnsi="TNR"/>
          <w:color w:val="777777"/>
          <w:sz w:val="20"/>
        </w:rPr>
        <w:t>- Manuscript adheres to IMRaD structure as required by the journal.</w:t>
      </w:r>
    </w:p>
    <w:p>
      <w:pPr>
        <w:spacing w:before="0" w:after="40"/>
      </w:pPr>
      <w:r>
        <w:rPr>
          <w:rFonts w:ascii="TNR" w:hAnsi="TNR"/>
          <w:color w:val="777777"/>
          <w:sz w:val="20"/>
        </w:rPr>
        <w:t>- All data sourced from the graduate course demo portal at https://zhengwen69.github.io/cdu-gufei-web-demo/</w:t>
      </w:r>
    </w:p>
    <w:p>
      <w:pPr>
        <w:spacing w:before="0" w:after="40"/>
      </w:pPr>
      <w:r>
        <w:rPr>
          <w:rFonts w:ascii="TNR" w:hAnsi="TNR"/>
          <w:color w:val="777777"/>
          <w:sz w:val="20"/>
        </w:rPr>
        <w:t>- No funding conflict declared. Ethics approval not required (educational methodology research).</w:t>
      </w:r>
    </w:p>
    <w:p>
      <w:pPr>
        <w:spacing w:before="0" w:after="40"/>
      </w:pPr>
      <w:r>
        <w:rPr>
          <w:rFonts w:ascii="TNR" w:hAnsi="TNR"/>
          <w:color w:val="777777"/>
          <w:sz w:val="20"/>
        </w:rPr>
        <w:t>- Pre-submission: Verify manuscript formatting against latest journal template and author guidelines.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