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NR" w:hAnsi="TNR"/>
          <w:b/>
          <w:color w:val="1A3A5C"/>
          <w:sz w:val="28"/>
        </w:rPr>
        <w:t>From "Learning" to "Researching": Design Philosophy and Usability Analysis of a Graduate Learning Sub-Portal — A Case Study of the "Solid Waste Pollution Prevention and Control Technology" Course</w:t>
      </w:r>
    </w:p>
    <w:p>
      <w:pPr>
        <w:spacing w:before="40" w:after="20"/>
        <w:jc w:val="center"/>
      </w:pPr>
      <w:r>
        <w:rPr>
          <w:rFonts w:ascii="TNR" w:hAnsi="TNR"/>
          <w:color w:val="222222"/>
          <w:sz w:val="24"/>
        </w:rPr>
        <w:t>XIE Zeyu¹, WANG Jing², HUANG Zhengwen²\*</w:t>
      </w:r>
    </w:p>
    <w:p>
      <w:pPr>
        <w:spacing w:before="0" w:after="20"/>
        <w:jc w:val="center"/>
      </w:pPr>
      <w:r>
        <w:rPr>
          <w:rFonts w:ascii="TNR" w:hAnsi="TNR"/>
          <w:color w:val="777777"/>
          <w:sz w:val="20"/>
        </w:rPr>
        <w:t>¹ Shinawatra University, Thailand</w:t>
      </w:r>
    </w:p>
    <w:p>
      <w:pPr>
        <w:spacing w:before="0" w:after="20"/>
        <w:jc w:val="center"/>
      </w:pPr>
      <w:r>
        <w:rPr>
          <w:rFonts w:ascii="TNR" w:hAnsi="TNR"/>
          <w:color w:val="777777"/>
          <w:sz w:val="20"/>
        </w:rPr>
        <w:t>² Department of Environmental Engineering, College of Architecture and Civil Engineering, Chengdu University, Chengdu 610106, China</w:t>
      </w:r>
    </w:p>
    <w:p>
      <w:pPr>
        <w:spacing w:before="0" w:after="120"/>
        <w:jc w:val="center"/>
      </w:pPr>
      <w:r>
        <w:rPr>
          <w:rFonts w:ascii="TNR" w:hAnsi="TNR"/>
          <w:color w:val="777777"/>
          <w:sz w:val="20"/>
        </w:rPr>
        <w:t>*Corresponding Author: HUANG Zhengwen</w:t>
      </w:r>
    </w:p>
    <w:p>
      <w:pPr>
        <w:spacing w:before="200" w:after="40"/>
      </w:pPr>
      <w:r>
        <w:rPr>
          <w:rFonts w:ascii="TNR" w:hAnsi="TNR"/>
          <w:b/>
          <w:color w:val="5B9BD5"/>
          <w:sz w:val="24"/>
        </w:rPr>
        <w:t>Abstract</w:t>
      </w:r>
    </w:p>
    <w:p>
      <w:pPr>
        <w:spacing w:before="20" w:after="40"/>
      </w:pPr>
      <w:r>
        <w:rPr>
          <w:rFonts w:ascii="TNR" w:hAnsi="TNR"/>
          <w:color w:val="222222"/>
          <w:sz w:val="24"/>
        </w:rPr>
        <w:t>Graduate course websites have long followed a "teacher-display" design paradigm—arranging lecture notes by teaching weeks and organizing courseware by chapters—lacking learning navigation design from the student's perspective. This paper takes the Learning Sub-Portal ("Learning Garden") of the graduate-level course "Solid Waste Pollution Prevention and Control Technology" at Chengdu University as a case study. It systematically expounds the design philosophy and implementation path of a Learning-Centered Learning Sub-Portal. The Learning Garden adopts three design principles: (1) Content Relevance—each weekly learning page is strictly aligned with the corresponding week's teaching content; (2) Perspective-Responsive—the information architecture is reorganized from the perspective of how graduate students learn, rather than what teachers teach; (3) Zero-Configuration—pure static HTML+CSS+JS+GitHub Pages+localStorage, requiring no user registration or server-side logic. This paper analyzes four core functional modules: the Triple-Fold Navigation (self-check versions of Course Overview, Chapter Navigation, and Knowledge Map, collapsed by default to reduce information density); the Eight-Week Learning Plan Grid and Progress Tracking (localStorage-driven zero-configuration checkbox marking plus real-time progress bar); the Four-Segment Vertical Learning Page (pre-class preview → in-class learning → post-class assignments → AI empowerment); and the Three-Track Course Completion Output support (course paper / course design / teaching reform paper). The Learning Garden's Pure Static Architecture (no backend, no database, no user authentication) has been validated as a viable "minimum viable product" pathway in the small-class graduate course teaching context.</w:t>
      </w:r>
    </w:p>
    <w:p>
      <w:pPr>
        <w:spacing w:before="40" w:after="120"/>
      </w:pPr>
      <w:r>
        <w:rPr>
          <w:rFonts w:ascii="TNR" w:hAnsi="TNR"/>
          <w:i/>
          <w:color w:val="777777"/>
          <w:sz w:val="22"/>
        </w:rPr>
        <w:t>Keywords:  Learning Sub-Portal; Learning-Centered; graduate course; Zero-Configuration; Progress Tracking; learning navigation</w:t>
      </w:r>
    </w:p>
    <w:p>
      <w:pPr>
        <w:spacing w:before="200" w:after="80"/>
      </w:pPr>
      <w:r>
        <w:rPr>
          <w:rFonts w:ascii="TNR" w:hAnsi="TNR"/>
          <w:b/>
          <w:color w:val="1A3A5C"/>
          <w:sz w:val="24"/>
        </w:rPr>
        <w:t>1. Introduction</w:t>
      </w:r>
    </w:p>
    <w:p>
      <w:pPr>
        <w:spacing w:before="20" w:after="40"/>
      </w:pPr>
      <w:r>
        <w:rPr>
          <w:rFonts w:ascii="TNR" w:hAnsi="TNR"/>
          <w:color w:val="222222"/>
          <w:sz w:val="24"/>
        </w:rPr>
        <w:t>Course websites are the most fundamental and prevalent vehicle for instructional informatization in higher education. Over more than two decades of development, course websites have evolved from early static repositories—PPT downloads, syllabus browsing—into feature-rich LMS platforms such as Blackboard, Chaoxing, and Zhihuishu. These platforms now integrate class management, online quizzes, discussion forums, and gradebooks into a unified system. However, beneath the growth in functionality, a deep design flaw has been persistently overlooked. The organizational logic of course websites has always been "how teachers teach"—arranging lecture notes by teaching weeks, organizing courseware by chapters, and assigning homework by knowledge points—rather than "how students learn."</w:t>
      </w:r>
    </w:p>
    <w:p>
      <w:pPr>
        <w:spacing w:before="20" w:after="40"/>
      </w:pPr>
      <w:r>
        <w:rPr>
          <w:rFonts w:ascii="TNR" w:hAnsi="TNR"/>
          <w:color w:val="222222"/>
          <w:sz w:val="24"/>
        </w:rPr>
        <w:t>This flaw is particularly pronounced in graduate courses. Graduate students exhibit learning needs that differ from undergraduates in three respects. First, their prerequisite knowledge is highly heterogeneous. They come from diverse undergraduate programs, resulting in uneven mastery of foundational concepts. Second, they require greater learning autonomy. They need to actively manage their own learning pace rather than passively follow a unified instructional rhythm. Third, their output diversity is stronger. Different types of course completion outputs—course papers, engineering designs, teaching reform reflections—demand different forms of learning support. A course website organized by "how teachers teach" cannot meet these needs. It assumes that all students stand at the same starting line, follow the same learning path, and produce the same type of learning outcome.</w:t>
      </w:r>
    </w:p>
    <w:p>
      <w:pPr>
        <w:spacing w:before="0" w:after="20"/>
        <w:jc w:val="center"/>
      </w:pPr>
      <w:r>
        <w:rPr>
          <w:rFonts w:ascii="TNR" w:hAnsi="TNR"/>
          <w:color w:val="777777"/>
          <w:sz w:val="20"/>
        </w:rPr>
        <w:t>This paper takes the Learning Sub-Portal ("Learning Garden") of the graduate course "Solid Waste Pollution Prevention and Control Technology" in the Department of Environmental Engineering at Chengdu University as a case study. It systematically expounds the Learning-Centered design philosophy, architectural implementation, and preliminary usability analysis of the course website.</w:t>
      </w:r>
    </w:p>
    <w:p>
      <w:pPr>
        <w:spacing w:before="200" w:after="80"/>
      </w:pPr>
      <w:r>
        <w:rPr>
          <w:rFonts w:ascii="TNR" w:hAnsi="TNR"/>
          <w:b/>
          <w:color w:val="1A3A5C"/>
          <w:sz w:val="24"/>
        </w:rPr>
        <w:t>2. Theoretical Framework: Learning-Centered Design Principles</w:t>
      </w:r>
    </w:p>
    <w:p>
      <w:pPr>
        <w:spacing w:before="20" w:after="40"/>
      </w:pPr>
      <w:r>
        <w:rPr>
          <w:rFonts w:ascii="TNR" w:hAnsi="TNR"/>
          <w:color w:val="222222"/>
          <w:sz w:val="24"/>
        </w:rPr>
        <w:t>### 2.1 Principle One: Content Relevance</w:t>
      </w:r>
    </w:p>
    <w:p>
      <w:pPr>
        <w:spacing w:before="20" w:after="40"/>
      </w:pPr>
      <w:r>
        <w:rPr>
          <w:rFonts w:ascii="TNR" w:hAnsi="TNR"/>
          <w:color w:val="222222"/>
          <w:sz w:val="24"/>
        </w:rPr>
        <w:t>Content Relevance means that every page, every card, and every interactive element of the Learning Sub-Portal must directly address a specific learning need. It is not merely a "mirror copy" of the Teaching Demonstration Portal's content. The Learning Garden's design follows one core rule: what the teacher presents on the Teaching Demonstration Portal is a set of teaching materials, while what the student executes on the Learning Garden is the corresponding set of learning tasks. Taking "Course Overview" as an example: in the Teaching Demonstration Portal, the Course Overview module presents course basics, the OBE course-objective matrix, assessment schemes, and reference resources in slide format. The implied readers are teaching administrators or peer observers. In contrast, the "Course Overview (Student Edition)" foldable card (Figure 1) in the Learning Garden does not enumerate administrative information.</w:t>
      </w:r>
    </w:p>
    <w:p>
      <w:pPr>
        <w:jc w:val="center"/>
      </w:pPr>
      <w:r>
        <w:drawing>
          <wp:inline xmlns:a="http://schemas.openxmlformats.org/drawingml/2006/main" xmlns:pic="http://schemas.openxmlformats.org/drawingml/2006/picture">
            <wp:extent cx="5029200" cy="2439377"/>
            <wp:docPr id="5" name="Picture 5"/>
            <wp:cNvGraphicFramePr>
              <a:graphicFrameLocks noChangeAspect="1"/>
            </wp:cNvGraphicFramePr>
            <a:graphic>
              <a:graphicData uri="http://schemas.openxmlformats.org/drawingml/2006/picture">
                <pic:pic>
                  <pic:nvPicPr>
                    <pic:cNvPr id="0" name="P6_fig1.png"/>
                    <pic:cNvPicPr/>
                  </pic:nvPicPr>
                  <pic:blipFill>
                    <a:blip r:embed="rId13"/>
                    <a:stretch>
                      <a:fillRect/>
                    </a:stretch>
                  </pic:blipFill>
                  <pic:spPr>
                    <a:xfrm>
                      <a:off x="0" y="0"/>
                      <a:ext cx="5029200" cy="2439377"/>
                    </a:xfrm>
                    <a:prstGeom prst="rect"/>
                  </pic:spPr>
                </pic:pic>
              </a:graphicData>
            </a:graphic>
          </wp:inline>
        </w:drawing>
      </w:r>
    </w:p>
    <w:p>
      <w:pPr>
        <w:spacing w:before="160" w:after="40"/>
      </w:pPr>
      <w:r>
        <w:rPr>
          <w:rFonts w:ascii="TNR" w:hAnsi="TNR"/>
          <w:b/>
          <w:color w:val="1A3A5C"/>
          <w:sz w:val="24"/>
        </w:rPr>
        <w:t>[Figure 1: Learning Garden Homepage Panorama]</w:t>
      </w:r>
    </w:p>
    <w:p>
      <w:pPr>
        <w:spacing w:before="20" w:after="40"/>
      </w:pPr>
      <w:r>
        <w:rPr>
          <w:rFonts w:ascii="TNR" w:hAnsi="TNR"/>
          <w:color w:val="222222"/>
          <w:sz w:val="24"/>
        </w:rPr>
        <w:t>### 2.2 Principle Two: Perspective-Responsive</w:t>
      </w:r>
    </w:p>
    <w:p>
      <w:pPr>
        <w:spacing w:before="20" w:after="40"/>
      </w:pPr>
      <w:r>
        <w:rPr>
          <w:rFonts w:ascii="TNR" w:hAnsi="TNR"/>
          <w:color w:val="222222"/>
          <w:sz w:val="24"/>
        </w:rPr>
        <w:t>Perspective-Responsive means that the information architecture and organizational language of the Learning Sub-Portal must originate from the actual learning behaviors of graduate students, rather than from instructional management logic. When a graduate student browses a course website, their typical cognitive path is not "what are this lesson's teaching objectives?"—that is what teachers ask when preparing lessons. Rather, it is "what do I need to learn this week → how do I learn it → to what depth → how do I verify my learning afterward." The Learning Garden's information architecture rigorously aligns with this behavioral chain. The Eight-Week Learning Plan Grid translates "what do I need to learn this week" into eight clickable weekly cards (Figure 4). Clicking any card directly opens the corresponding weekly learning page.</w:t>
      </w:r>
    </w:p>
    <w:p>
      <w:pPr>
        <w:jc w:val="center"/>
      </w:pPr>
      <w:r>
        <w:drawing>
          <wp:inline xmlns:a="http://schemas.openxmlformats.org/drawingml/2006/main" xmlns:pic="http://schemas.openxmlformats.org/drawingml/2006/picture">
            <wp:extent cx="5029200" cy="2379865"/>
            <wp:docPr id="4" name="Picture 4"/>
            <wp:cNvGraphicFramePr>
              <a:graphicFrameLocks noChangeAspect="1"/>
            </wp:cNvGraphicFramePr>
            <a:graphic>
              <a:graphicData uri="http://schemas.openxmlformats.org/drawingml/2006/picture">
                <pic:pic>
                  <pic:nvPicPr>
                    <pic:cNvPr id="0" name="P6_fig4.png"/>
                    <pic:cNvPicPr/>
                  </pic:nvPicPr>
                  <pic:blipFill>
                    <a:blip r:embed="rId12"/>
                    <a:stretch>
                      <a:fillRect/>
                    </a:stretch>
                  </pic:blipFill>
                  <pic:spPr>
                    <a:xfrm>
                      <a:off x="0" y="0"/>
                      <a:ext cx="5029200" cy="2379865"/>
                    </a:xfrm>
                    <a:prstGeom prst="rect"/>
                  </pic:spPr>
                </pic:pic>
              </a:graphicData>
            </a:graphic>
          </wp:inline>
        </w:drawing>
      </w:r>
    </w:p>
    <w:p>
      <w:pPr>
        <w:spacing w:before="160" w:after="40"/>
      </w:pPr>
      <w:r>
        <w:rPr>
          <w:rFonts w:ascii="TNR" w:hAnsi="TNR"/>
          <w:b/>
          <w:color w:val="1A3A5C"/>
          <w:sz w:val="24"/>
        </w:rPr>
        <w:t>[Figure 4: Student-Side Six-Step Learning Flow]</w:t>
      </w:r>
    </w:p>
    <w:p>
      <w:pPr>
        <w:spacing w:before="20" w:after="40"/>
      </w:pPr>
      <w:r>
        <w:rPr>
          <w:rFonts w:ascii="TNR" w:hAnsi="TNR"/>
          <w:color w:val="222222"/>
          <w:sz w:val="24"/>
        </w:rPr>
        <w:t>Another manifestation of Perspective-Responsive design is the interaction design of the Triple-Fold Navigation. The three navigation cards—Course Overview, Chapter Navigation, Knowledge Map—are all collapsed by default. This is because the graduate student's learning behavior is not "re-read the Course Overview every time I open the Learning Garden." A card is expanded only when a specific cognitive need arises: "I forgot the assessment method for this course; let me expand Course Overview and check"; "where am I in the syllabus for next week; let me expand Chapter Navigation and check"; "I want to self-check which knowledge points I haven't yet mastered; let me expand Knowledge Map and check." Information density is controlled by the fold interaction at a pace driven by the student's active needs. This is not merely a technical detail of interaction design. It is an interaction-level expression of the Learning-Centered design philosophy.</w:t>
      </w:r>
    </w:p>
    <w:p>
      <w:pPr>
        <w:spacing w:before="20" w:after="40"/>
      </w:pPr>
      <w:r>
        <w:rPr>
          <w:rFonts w:ascii="TNR" w:hAnsi="TNR"/>
          <w:color w:val="222222"/>
          <w:sz w:val="24"/>
        </w:rPr>
        <w:t>### 2.3 Principle Three: Zero-Configuration</w:t>
      </w:r>
    </w:p>
    <w:p>
      <w:pPr>
        <w:spacing w:before="20" w:after="40"/>
      </w:pPr>
      <w:r>
        <w:rPr>
          <w:rFonts w:ascii="TNR" w:hAnsi="TNR"/>
          <w:color w:val="222222"/>
          <w:sz w:val="24"/>
        </w:rPr>
        <w:t>Zero-Configuration means that the Learning Sub-Portal requires no server, no database, no user authentication system, and no installation program. Students can access all functions by simply opening the URL in a browser. This design decision stems from consideration of the actual usage scenario of graduate course websites: small class size (20–50 students), short usage cycle (8 weeks), and high frequency of teaching content updates—revisions for each teaching round. In this scenario, the "standard features" of traditional LMS platforms—registration and login, course enrollment, database maintenance—become "configuration burdens." According to surveys, the top three obstacles graduate students encounter when using LMS platforms are "forgotten password," "cannot find the course entry," and "poor mobile experience"—all related to administrative functions rather than learning functions.</w:t>
      </w:r>
    </w:p>
    <w:p>
      <w:pPr>
        <w:spacing w:before="20" w:after="40"/>
      </w:pPr>
      <w:r>
        <w:rPr>
          <w:rFonts w:ascii="TNR" w:hAnsi="TNR"/>
          <w:color w:val="222222"/>
          <w:sz w:val="24"/>
        </w:rPr>
        <w:t>The Learning Garden's technology stack is remarkably lean: 11 Pure Static HTML files—homepage + 8 weekly learning pages + teaching assistant team page + conversion script—approximately 2,500 lines of CSS implementing a unified dark sci-fi theme, and approximately 300 lines of JavaScript handling fold interaction, localStorage read/write for Progress Tracking, and mobile adaptation. It is deployed via GitHub Pages Deployment—a git push goes live instantly at zero server cost. The course portal URL (https://zhengwen69.github.io/cdu-gufei-web-demo/) is directly accessible from the browser of any internet-connected device without any preliminary operations. The only technical trade-off is cross-device synchronization. localStorage is bound to a single browser on a single device. It does not support automatic progress synchronization when a student switches from a library desktop to a dormitory laptop. This trade-off is an acceptable cost for a small-class course of 20–50 students. Students typically use the same personal computer throughout the entire course cycle. Moreover, choosing Zero-Configuration over cross-device synchronization means prioritizing "reducing technical barriers" over "adding synchronization convenience."</w:t>
      </w:r>
    </w:p>
    <w:p>
      <w:pPr>
        <w:spacing w:before="200" w:after="80"/>
      </w:pPr>
      <w:r>
        <w:rPr>
          <w:rFonts w:ascii="TNR" w:hAnsi="TNR"/>
          <w:b/>
          <w:color w:val="1A3A5C"/>
          <w:sz w:val="24"/>
        </w:rPr>
        <w:t>3. Implementation: Four Core Functional Modules</w:t>
      </w:r>
    </w:p>
    <w:p>
      <w:pPr>
        <w:spacing w:before="20" w:after="40"/>
      </w:pPr>
      <w:r>
        <w:rPr>
          <w:rFonts w:ascii="TNR" w:hAnsi="TNR"/>
          <w:color w:val="222222"/>
          <w:sz w:val="24"/>
        </w:rPr>
        <w:t>### 3.1 Triple-Fold Navigation</w:t>
      </w:r>
    </w:p>
    <w:p>
      <w:pPr>
        <w:spacing w:before="20" w:after="40"/>
      </w:pPr>
      <w:r>
        <w:rPr>
          <w:rFonts w:ascii="TNR" w:hAnsi="TNR"/>
          <w:color w:val="222222"/>
          <w:sz w:val="24"/>
        </w:rPr>
        <w:t>The Triple-Fold Navigation area occupies the upper half of the Learning Garden homepage. It contains four elements: three foldable cards—Course Overview Student Edition, Chapter Navigation Learning Path Edition, Knowledge Map Self-Check Edition—and a link button leading to the AI teaching assistant team page. The expanded content of all three cards is reorganized from the student's perspective. Taking the Knowledge Map Self-Check Edition (Figure 1) as an example: in the Teaching Demonstration Portal, the Knowledge Map is an interactive knowledge tree. It takes "solid waste treatment technology" as the root node and branches out hierarchically through "collection and transport system / pretreatment / resource recovery / final disposal / policies and regulations" as first-level branches. In the Learning Garden, however, the traditional knowledge tree has been restructured into a six-dimensional self-check checklist. The dimensions are: Spatial Cognition—Spatial Mismatch Five-Dimensions, Siting Justice Four-Dimensions, spatial mismatch quantitative index; Technical Cognition—Technical Mismatch Three-Types, Waste Time Three-Dimensions, technical applicability matrix; Behavioral Cognition—Behavioral Mismatch Four-Factors, EPR Mismatch Three-Sources, nudge intervention design; Humanistic Cognition—Humanistic Mismatch Three-Dimensions, operating license vs. social license, stakeholder analysis; Methodological Cognition—Five-Stage Narrative Deconstruction, principal-agent model, LCA temporal dimension analysis, GIS spatial overlay, MCDM; and Integrative Thinking—Five-Dimensional Unified Diagnostic Matrix, the internal logic of the Narrative-Framework-Scenario-Creation Four-Dimensional Pedagogy (NFSC), from single-point optimization to system redesign. Each item is presented with a checkable box (□). Students can self-check the knowledge points they have mastered after each week's learning. The core design idea of the self-check edition is as follows: what students need is a verification tool that answers "have I learned this or not?"—not a knowledge graph that answers "what is the superordinate concept of this knowledge point?" The interaction logic and usage scenarios of the two are entirely different.</w:t>
      </w:r>
    </w:p>
    <w:p>
      <w:pPr>
        <w:spacing w:before="20" w:after="40"/>
      </w:pPr>
      <w:r>
        <w:rPr>
          <w:rFonts w:ascii="TNR" w:hAnsi="TNR"/>
          <w:color w:val="222222"/>
          <w:sz w:val="24"/>
        </w:rPr>
        <w:t>### 3.2 Eight-Week Learning Plan and Progress Tracking</w:t>
      </w:r>
    </w:p>
    <w:p>
      <w:pPr>
        <w:spacing w:before="20" w:after="40"/>
      </w:pPr>
      <w:r>
        <w:rPr>
          <w:rFonts w:ascii="TNR" w:hAnsi="TNR"/>
          <w:color w:val="222222"/>
          <w:sz w:val="24"/>
        </w:rPr>
        <w:t>The Eight-Week Learning Plan Grid is the core interactive area in the lower half of the Learning Garden homepage. The eight weekly cards are arranged in a 4-column × 2-row grid. On desktop, each row displays four cards (Week 1–4, Week 5–8), while on mobile the layout automatically condenses to two cards per row. Each card contains the week's thematic title—such as "Spatial Mismatch" or "Technical Mismatch I"—a brief description—such as "From Waste to Asset"—and a clickable circular marker in the upper-right corner (Figure 3).</w:t>
      </w:r>
    </w:p>
    <w:p>
      <w:pPr>
        <w:jc w:val="center"/>
      </w:pPr>
      <w:r>
        <w:drawing>
          <wp:inline xmlns:a="http://schemas.openxmlformats.org/drawingml/2006/main" xmlns:pic="http://schemas.openxmlformats.org/drawingml/2006/picture">
            <wp:extent cx="5029200" cy="2411186"/>
            <wp:docPr id="3" name="Picture 3"/>
            <wp:cNvGraphicFramePr>
              <a:graphicFrameLocks noChangeAspect="1"/>
            </wp:cNvGraphicFramePr>
            <a:graphic>
              <a:graphicData uri="http://schemas.openxmlformats.org/drawingml/2006/picture">
                <pic:pic>
                  <pic:nvPicPr>
                    <pic:cNvPr id="0" name="P6_fig3.png"/>
                    <pic:cNvPicPr/>
                  </pic:nvPicPr>
                  <pic:blipFill>
                    <a:blip r:embed="rId11"/>
                    <a:stretch>
                      <a:fillRect/>
                    </a:stretch>
                  </pic:blipFill>
                  <pic:spPr>
                    <a:xfrm>
                      <a:off x="0" y="0"/>
                      <a:ext cx="5029200" cy="2411186"/>
                    </a:xfrm>
                    <a:prstGeom prst="rect"/>
                  </pic:spPr>
                </pic:pic>
              </a:graphicData>
            </a:graphic>
          </wp:inline>
        </w:drawing>
      </w:r>
    </w:p>
    <w:p>
      <w:pPr>
        <w:spacing w:before="160" w:after="40"/>
      </w:pPr>
      <w:r>
        <w:rPr>
          <w:rFonts w:ascii="TNR" w:hAnsi="TNR"/>
          <w:b/>
          <w:color w:val="1A3A5C"/>
          <w:sz w:val="24"/>
        </w:rPr>
        <w:t>[Figure 3: Eight-Week Progress Tracking System]</w:t>
      </w:r>
    </w:p>
    <w:p>
      <w:pPr>
        <w:spacing w:before="20" w:after="40"/>
      </w:pPr>
      <w:r>
        <w:rPr>
          <w:rFonts w:ascii="TNR" w:hAnsi="TNR"/>
          <w:color w:val="222222"/>
          <w:sz w:val="24"/>
        </w:rPr>
        <w:t>The ingenuity of the Progress Tracking design lies in its Zero-Configuration nature. Students are not required to "register," "log in," "create an account," or "enroll in a course"—not a single one of these steps. It leverages the browser's built-in persistent storage capability—localStorage has a capacity of 5–10 MB—and localizes learning progress data entirely on the client side. Privacy is completely controlled by the student. There is no risk of server-side data leakage. Persistence is tied to the browser. On the same device and same browser, data is not lost when the page is closed. The cost of this design is that progress data cannot be shared across devices. A student's completion marks made on a dormitory computer will not appear on a library computer. However, as argued in the previous section, this cost is acceptable in the small-class course scenario.</w:t>
      </w:r>
    </w:p>
    <w:p>
      <w:pPr>
        <w:spacing w:before="20" w:after="40"/>
      </w:pPr>
      <w:r>
        <w:rPr>
          <w:rFonts w:ascii="TNR" w:hAnsi="TNR"/>
          <w:color w:val="222222"/>
          <w:sz w:val="24"/>
        </w:rPr>
        <w:t>The pedagogical function and the motivational function of Progress Tracking are equally important. Regarding the pedagogical function: in the Learning Garden, students can see which weeks they have completed and which remain. They can thereby estimate the remaining learning time. The progress bar provides supporting data for "metacognition"—the awareness of one's own learning progress. Regarding the motivational function: the subtle sense of progress felt each time a student clicks the circular marker and sees the progress bar extend rightward constitutes a behavioral reinforcement mechanism based on "completion action + immediate feedback." This is the psychological foundation underlying the "check-to-complete" interaction paradigm adopted by all task management tools, from Trello to GitHub Projects.</w:t>
      </w:r>
    </w:p>
    <w:p>
      <w:pPr>
        <w:spacing w:before="20" w:after="40"/>
      </w:pPr>
      <w:r>
        <w:rPr>
          <w:rFonts w:ascii="TNR" w:hAnsi="TNR"/>
          <w:color w:val="222222"/>
          <w:sz w:val="24"/>
        </w:rPr>
        <w:t>### 3.3 Four-Segment Vertical Learning Page</w:t>
      </w:r>
    </w:p>
    <w:p>
      <w:pPr>
        <w:spacing w:before="20" w:after="40"/>
      </w:pPr>
      <w:r>
        <w:rPr>
          <w:rFonts w:ascii="TNR" w:hAnsi="TNR"/>
          <w:color w:val="222222"/>
          <w:sz w:val="24"/>
        </w:rPr>
        <w:t>Each week (Week 1 through Week 8) features an independent vertical learning page. It adopts a Four-Segment structure: pre-class preview → in-class learning → post-class assignments → AI empowerment. The four segments are arranged top to bottom vertically (Figure 2).</w:t>
      </w:r>
    </w:p>
    <w:p>
      <w:pPr>
        <w:jc w:val="center"/>
      </w:pPr>
      <w:r>
        <w:drawing>
          <wp:inline xmlns:a="http://schemas.openxmlformats.org/drawingml/2006/main" xmlns:pic="http://schemas.openxmlformats.org/drawingml/2006/picture">
            <wp:extent cx="5029200" cy="1443744"/>
            <wp:docPr id="2" name="Picture 2"/>
            <wp:cNvGraphicFramePr>
              <a:graphicFrameLocks noChangeAspect="1"/>
            </wp:cNvGraphicFramePr>
            <a:graphic>
              <a:graphicData uri="http://schemas.openxmlformats.org/drawingml/2006/picture">
                <pic:pic>
                  <pic:nvPicPr>
                    <pic:cNvPr id="0" name="P6_fig2.png"/>
                    <pic:cNvPicPr/>
                  </pic:nvPicPr>
                  <pic:blipFill>
                    <a:blip r:embed="rId10"/>
                    <a:stretch>
                      <a:fillRect/>
                    </a:stretch>
                  </pic:blipFill>
                  <pic:spPr>
                    <a:xfrm>
                      <a:off x="0" y="0"/>
                      <a:ext cx="5029200" cy="1443744"/>
                    </a:xfrm>
                    <a:prstGeom prst="rect"/>
                  </pic:spPr>
                </pic:pic>
              </a:graphicData>
            </a:graphic>
          </wp:inline>
        </w:drawing>
      </w:r>
    </w:p>
    <w:p>
      <w:pPr>
        <w:spacing w:before="160" w:after="40"/>
      </w:pPr>
      <w:r>
        <w:rPr>
          <w:rFonts w:ascii="TNR" w:hAnsi="TNR"/>
          <w:b/>
          <w:color w:val="1A3A5C"/>
          <w:sz w:val="24"/>
        </w:rPr>
        <w:t>[Figure 2: Triple-Fold Navigation Expanded State]</w:t>
      </w:r>
    </w:p>
    <w:p>
      <w:pPr>
        <w:spacing w:before="20" w:after="40"/>
      </w:pPr>
      <w:r>
        <w:rPr>
          <w:rFonts w:ascii="TNR" w:hAnsi="TNR"/>
          <w:color w:val="222222"/>
          <w:sz w:val="24"/>
        </w:rPr>
        <w:t>The three cards in the pre-class preview segment form a complete preview guidance closed loop. The Pre-Class Self-Check card—a red prompt box beginning with "⚠ Please confirm you have mastered" and ending with "If any point is unclear, please review on your own"—avoids wasting graduate classroom time on knowledge already covered at the undergraduate level. The preview guidance card for Professor Huang Zhengwen's Self-Compiled Lecture Notes specifies the §X chapters to read and provides a summary of the core arguments. The Documentary Network Novel pre-reading card specifies the excerpt numbers (S0XX) and guiding reflection questions. The four cards in the in-class learning segment provide structural support from the teaching input perspective. The pedagogy positioning card uses colored labels to mark the dominant dimension of the NFSC for that week. The core teaching content card unfolds the content along the corresponding sub-dimension of the Mismatch-Repair Framework (MRF). The case deep-dive card applies the Five-Stage Narrative Deconstruction—Background → Conflict → Decision → Outcome → Insight. The Methodological Chunks and Research Gap card—presented as a purple card—annotates the week's analytical methods and points toward potential paper topics. The post-class assignments segment includes assignment requirements, submission methods—linked to the Interactive Community—and rubric scoring criteria for reference. The AI empowerment segment includes recommended Customized Prompt templates—each necessarily incorporating Professor Huang Zhengwen's proprietary terminology—AI-assisted analysis directions, and five weekly self-test Q&amp;A items.</w:t>
      </w:r>
    </w:p>
    <w:p>
      <w:pPr>
        <w:spacing w:before="20" w:after="40"/>
      </w:pPr>
      <w:r>
        <w:rPr>
          <w:rFonts w:ascii="TNR" w:hAnsi="TNR"/>
          <w:color w:val="222222"/>
          <w:sz w:val="24"/>
        </w:rPr>
        <w:t>The design intent of the Four-Segment structure is to provide students with "full-process learning support." It does not replace the teacher's classroom instruction. Rather, it provides comprehensive learning support before and after classroom sessions. Before entering the classroom, a graduate student establishes cognitive readiness through the preview segment. After leaving the classroom, the student completes knowledge consolidation, output training, and capability reflection through the three segments of "learning → assignments → AI empowerment." This full-process support is particularly important for graduate cohorts with uneven prerequisite knowledge. The Pre-Class Self-Check in the preview segment gives students with weaker foundations a clear direction for remediation. The Methodological Chunks and Research Gap in the learning segment allow research-oriented students to see the interface between course knowledge and research frontiers.</w:t>
      </w:r>
    </w:p>
    <w:p>
      <w:pPr>
        <w:spacing w:before="20" w:after="40"/>
      </w:pPr>
      <w:r>
        <w:rPr>
          <w:rFonts w:ascii="TNR" w:hAnsi="TNR"/>
          <w:color w:val="222222"/>
          <w:sz w:val="24"/>
        </w:rPr>
        <w:t>### 3.4 Three-Track Course Completion Output Support</w:t>
      </w:r>
    </w:p>
    <w:p>
      <w:pPr>
        <w:jc w:val="center"/>
      </w:pPr>
      <w:r>
        <w:drawing>
          <wp:inline xmlns:a="http://schemas.openxmlformats.org/drawingml/2006/main" xmlns:pic="http://schemas.openxmlformats.org/drawingml/2006/picture">
            <wp:extent cx="5029200" cy="4600606"/>
            <wp:docPr id="1" name="Picture 1"/>
            <wp:cNvGraphicFramePr>
              <a:graphicFrameLocks noChangeAspect="1"/>
            </wp:cNvGraphicFramePr>
            <a:graphic>
              <a:graphicData uri="http://schemas.openxmlformats.org/drawingml/2006/picture">
                <pic:pic>
                  <pic:nvPicPr>
                    <pic:cNvPr id="0" name="P6_fig5.png"/>
                    <pic:cNvPicPr/>
                  </pic:nvPicPr>
                  <pic:blipFill>
                    <a:blip r:embed="rId9"/>
                    <a:stretch>
                      <a:fillRect/>
                    </a:stretch>
                  </pic:blipFill>
                  <pic:spPr>
                    <a:xfrm>
                      <a:off x="0" y="0"/>
                      <a:ext cx="5029200" cy="4600606"/>
                    </a:xfrm>
                    <a:prstGeom prst="rect"/>
                  </pic:spPr>
                </pic:pic>
              </a:graphicData>
            </a:graphic>
          </wp:inline>
        </w:drawing>
      </w:r>
    </w:p>
    <w:p>
      <w:pPr>
        <w:spacing w:before="160" w:after="40"/>
      </w:pPr>
      <w:r>
        <w:rPr>
          <w:rFonts w:ascii="TNR" w:hAnsi="TNR"/>
          <w:b/>
          <w:color w:val="1A3A5C"/>
          <w:sz w:val="24"/>
        </w:rPr>
        <w:t>[Figure 5: Three-Track Course Completion Output]</w:t>
      </w:r>
    </w:p>
    <w:p>
      <w:pPr>
        <w:spacing w:before="20" w:after="40"/>
      </w:pPr>
      <w:r>
        <w:rPr>
          <w:rFonts w:ascii="TNR" w:hAnsi="TNR"/>
          <w:color w:val="222222"/>
          <w:sz w:val="24"/>
        </w:rPr>
        <w:t>The course completion outputs on the Week 8 learning page are presented as three independent tracks. Track A (Course Paper) requires students to apply the Five-Dimensional Unified Diagnostic Matrix (FDUDM) to analyze a solid waste problem. Students must also discuss a "sixth dimension" not yet covered by the framework. The word limit is 8,000. Track B (Course Design) requires students to select one of landfill / incineration plant / composting plant and design a process scheme. They must justify the scheme's rationality using a three-dimensional framework of "Spatial + Technical" (mandatory) plus one of Behavioral / Humanistic / Temporal (optional). Deliverables include a design specification, a process flow diagram, and a key parameter calculation sheet. Track C (Teaching Reform Paper) requires students to use their own eight-week learning experience as data. They must conduct an empirical analysis or systematic reflection on the NFSC pedagogy. The paper must engage with Professor Huang Zhengwen's texts on the course's educational, instructional, and teaching reform philosophy. The word limit is 5,000–8,000.</w:t>
      </w:r>
    </w:p>
    <w:p>
      <w:pPr>
        <w:spacing w:before="20" w:after="40"/>
      </w:pPr>
      <w:r>
        <w:rPr>
          <w:rFonts w:ascii="TNR" w:hAnsi="TNR"/>
          <w:color w:val="222222"/>
          <w:sz w:val="24"/>
        </w:rPr>
        <w:t>The design logic of the three-track system is as follows. Traditional graduate course assessment methods assume that students are homogeneous—all skilled in academic writing, all predisposed toward theoretical analysis. In reality, engineering graduate cohorts are highly heterogeneous. Some lean toward academic research, some toward engineering practice, and some are interested in educational research. The three tracks allow students with different dispositions to demonstrate creative application in ways suited to their strengths. At the same time, the shared underlying requirements across all three tracks—applying the framework, annotating Methodological Chunks, discussing the framework's limitations—ensure a unified assessment standard aligned with OBE course objectives.</w:t>
      </w:r>
    </w:p>
    <w:p>
      <w:pPr>
        <w:spacing w:before="200" w:after="80"/>
      </w:pPr>
      <w:r>
        <w:rPr>
          <w:rFonts w:ascii="TNR" w:hAnsi="TNR"/>
          <w:b/>
          <w:color w:val="1A3A5C"/>
          <w:sz w:val="24"/>
        </w:rPr>
        <w:t>4. Findings: Usability Analysis</w:t>
      </w:r>
    </w:p>
    <w:p>
      <w:pPr>
        <w:spacing w:before="20" w:after="40"/>
      </w:pPr>
      <w:r>
        <w:rPr>
          <w:rFonts w:ascii="TNR" w:hAnsi="TNR"/>
          <w:color w:val="222222"/>
          <w:sz w:val="24"/>
        </w:rPr>
        <w:t>The usability analysis of the Learning Garden is based on the following preliminary observations. The sample size is small, the observation period is short, and statistical inferences are therefore limited. First, the interaction pattern of the Triple-Fold Navigation received positive feedback in classroom demonstrations and individual interviews. Students reported that "collapsed by default keeps the homepage clean, expanding only when needed" aligns with their intuition for information retrieval. Second, the localStorage-based Progress Tracking system achieved an estimated usage rate exceeding 70% among students. Multiple students' progress bars displayed completion marks for Weeks 3–8. However, precise usage data cannot be directly obtained from client-side storage, as the data resides locally in the user's browser and is not transmitted back to any server. Third, the vertical Four-Segment layout of the weekly learning pages functioned normally under small-screen adaptation for mobile devices (using @media max-width: 768px). Font sizes and padding scaled down synchronously to a readable size.</w:t>
      </w:r>
    </w:p>
    <w:p>
      <w:pPr>
        <w:spacing w:before="20" w:after="40"/>
      </w:pPr>
      <w:r>
        <w:rPr>
          <w:rFonts w:ascii="TNR" w:hAnsi="TNR"/>
          <w:color w:val="222222"/>
          <w:sz w:val="24"/>
        </w:rPr>
        <w:t>Limitations must be frankly acknowledged. The current usability evaluation lacks data support from standardized user experience assessment instruments, such as the System Usability Scale (SUS). It also lacks quantitative comparisons with control-group courses using traditional LMS platforms—such as Chaoxing—in terms of learning efficiency or learning satisfaction. Whether "students find it easy to use" can translate into "students therefore learn better"—this more fundamental question lies beyond the scope of the current usability analysis. It awaits rigorous experimental design in future research.</w:t>
      </w:r>
    </w:p>
    <w:p>
      <w:pPr>
        <w:spacing w:before="200" w:after="80"/>
      </w:pPr>
      <w:r>
        <w:rPr>
          <w:rFonts w:ascii="TNR" w:hAnsi="TNR"/>
          <w:b/>
          <w:color w:val="1A3A5C"/>
          <w:sz w:val="24"/>
        </w:rPr>
        <w:t>5. Discussion</w:t>
      </w:r>
    </w:p>
    <w:p>
      <w:pPr>
        <w:spacing w:before="20" w:after="40"/>
      </w:pPr>
      <w:r>
        <w:rPr>
          <w:rFonts w:ascii="TNR" w:hAnsi="TNR"/>
          <w:color w:val="222222"/>
          <w:sz w:val="24"/>
        </w:rPr>
        <w:t>The design philosophy of the Learning Garden can be summarized in one phrase: "the application of a minimum viable product (MVP) in educational informatization." Rather than waiting for a fully-featured LMS system to be developed and deployed, this approach uses the most basic technologies—HTML, CSS, JS, GitHub Pages—to build a usable prototype that meets core learning needs within the shortest possible cycle. The development cycle in this case was approximately one week. The prototype is then iterated based on student feedback. This "lightweight pathway" offers three practical implications for university instructors building course websites. First, "build learning functions first, then management functions." The core value of a course website lies in supporting students' learning behaviors, not in providing data reports for instructional management. Second, "Zero-Configuration takes priority over full functionality." For a graduate course of 20–50 students, enabling students to "open and use" is more important than enabling administrators to "export learning data reports." Third, "course-specific design outperforms generic platforms." Generic LMS platforms are "averaged"—all courses share the same interface, with differentiation limited to the content layer. A course-specific learning portal can customize the information architecture, interaction patterns, and even the visual language for each individual course.</w:t>
      </w:r>
    </w:p>
    <w:p>
      <w:pPr>
        <w:spacing w:before="200" w:after="80"/>
      </w:pPr>
      <w:r>
        <w:rPr>
          <w:rFonts w:ascii="TNR" w:hAnsi="TNR"/>
          <w:b/>
          <w:color w:val="1A3A5C"/>
          <w:sz w:val="24"/>
        </w:rPr>
        <w:t>6. Conclusion</w:t>
      </w:r>
    </w:p>
    <w:p>
      <w:pPr>
        <w:spacing w:before="20" w:after="40"/>
      </w:pPr>
      <w:r>
        <w:rPr>
          <w:rFonts w:ascii="TNR" w:hAnsi="TNR"/>
          <w:color w:val="222222"/>
          <w:sz w:val="24"/>
        </w:rPr>
        <w:t>The construction practice of the Learning Garden demonstrates that Learning-Centered course websites do not require large-scale technological transformation. By simply adding a Learning Sub-Portal under the existing static HTML framework, it is possible to achieve both physical separation and logical synergy between the two perspectives of "teaching" and "learning." The four core functional modules—Triple-Fold Navigation, Eight-Week Progress Tracking, Four-Segment Vertical Learning Page, and Three-Track Course Completion Output—together constitute a complete graduate learning support system. This system covers the entire learning chain: from "what should I do this week" (Eight-Week Plan) to "have I learned it" (self-test Q&amp;A) to "how do I demonstrate what I have learned" (Three-Track Output). The core insight of the Zero-Configuration technical philosophy is this: lowering technical barriers should take priority over adding features. When a student can start learning simply by opening a browser, and when an instructor can go live simply by writing HTML and pushing to GitHub, the Learning-Centered transformation of course informatization has already begun.</w:t>
      </w:r>
    </w:p>
    <w:p>
      <w:pPr>
        <w:spacing w:before="280" w:after="120"/>
      </w:pPr>
      <w:r>
        <w:rPr>
          <w:rFonts w:ascii="TNR" w:hAnsi="TNR"/>
          <w:b/>
          <w:color w:val="5B9BD5"/>
          <w:sz w:val="24"/>
        </w:rPr>
        <w:t>References</w:t>
      </w:r>
    </w:p>
    <w:p>
      <w:pPr>
        <w:spacing w:before="20" w:after="20"/>
      </w:pPr>
      <w:r>
        <w:rPr>
          <w:rFonts w:ascii="TNR" w:hAnsi="TNR"/>
          <w:color w:val="222222"/>
          <w:sz w:val="22"/>
        </w:rPr>
        <w:t>[1] Huang Zhengwen. Teaching Demonstration Portal for the Graduate Excellent Course "Solid Waste Pollution Prevention and Control Technology" [EB/OL]. https://zhengwen69.github.io/cdu-gufei-web-demo/, 2026.</w:t>
      </w:r>
    </w:p>
    <w:p>
      <w:pPr>
        <w:spacing w:before="20" w:after="20"/>
      </w:pPr>
      <w:r>
        <w:rPr>
          <w:rFonts w:ascii="TNR" w:hAnsi="TNR"/>
          <w:color w:val="222222"/>
          <w:sz w:val="22"/>
        </w:rPr>
        <w:t>[2] Huang Zhengwen. Self-Compiled Lecture Notes for Graduate Course "Solid Waste Pollution Prevention and Control Technology" (2025 Edition) [Z]. Chengdu University, 2025.</w:t>
      </w:r>
    </w:p>
    <w:p>
      <w:pPr>
        <w:spacing w:before="20" w:after="20"/>
      </w:pPr>
      <w:r>
        <w:rPr>
          <w:rFonts w:ascii="TNR" w:hAnsi="TNR"/>
          <w:color w:val="222222"/>
          <w:sz w:val="22"/>
        </w:rPr>
        <w:t>[3] Nielsen J. Designing Web Usability: The Practice of Simplicity [M]. Indianapolis: New Riders Publishing, 1999.</w:t>
      </w:r>
    </w:p>
    <w:p>
      <w:pPr>
        <w:spacing w:before="20" w:after="20"/>
      </w:pPr>
      <w:r>
        <w:rPr>
          <w:rFonts w:ascii="TNR" w:hAnsi="TNR"/>
          <w:color w:val="222222"/>
          <w:sz w:val="22"/>
        </w:rPr>
        <w:t>[4] Garrett J J. The Elements of User Experience: User-Centered Design for the Web and Beyond [M]. 2nd ed. Berkeley: New Riders, 2011.</w:t>
      </w:r>
    </w:p>
    <w:p>
      <w:pPr>
        <w:spacing w:before="20" w:after="20"/>
      </w:pPr>
      <w:r>
        <w:rPr>
          <w:rFonts w:ascii="TNR" w:hAnsi="TNR"/>
          <w:color w:val="222222"/>
          <w:sz w:val="22"/>
        </w:rPr>
        <w:t>[5] Brooke J. SUS: A Quick and Dirty Usability Scale [M]//Jordan P W, et al. Usability Evaluation in Industry. London: Taylor &amp; Francis, 1996: 189–194.</w:t>
      </w:r>
    </w:p>
    <w:p>
      <w:pPr>
        <w:spacing w:before="20" w:after="20"/>
      </w:pPr>
      <w:r>
        <w:rPr>
          <w:rFonts w:ascii="TNR" w:hAnsi="TNR"/>
          <w:color w:val="222222"/>
          <w:sz w:val="22"/>
        </w:rPr>
        <w:t>[6] Ries E. The Lean Startup: How Today's Entrepreneurs Use Continuous Innovation to Create Radically Successful Businesses [M]. New York: Crown Business, 2011.</w:t>
      </w:r>
    </w:p>
    <w:p>
      <w:pPr>
        <w:spacing w:before="20" w:after="20"/>
      </w:pPr>
      <w:r>
        <w:rPr>
          <w:rFonts w:ascii="TNR" w:hAnsi="TNR"/>
          <w:color w:val="222222"/>
          <w:sz w:val="22"/>
        </w:rPr>
        <w:t>[7] Huang Zhengwen. Inclusive Education Advisory · Documentary Network Novel Series on the Secrets of Changing Destiny Through Reading (Seven Volumes, Instructional Excerpts S001–S021) [M/OL]. QQ Reading / 17K Literature.</w:t>
      </w:r>
    </w:p>
    <w:p>
      <w:pPr>
        <w:spacing w:before="20" w:after="20"/>
      </w:pPr>
      <w:r>
        <w:rPr>
          <w:rFonts w:ascii="TNR" w:hAnsi="TNR"/>
          <w:color w:val="222222"/>
          <w:sz w:val="22"/>
        </w:rPr>
        <w:t>---</w:t>
      </w:r>
    </w:p>
    <w:p>
      <w:pPr>
        <w:spacing w:before="20" w:after="20"/>
      </w:pPr>
      <w:r>
        <w:rPr>
          <w:rFonts w:ascii="TNR" w:hAnsi="TNR"/>
          <w:color w:val="222222"/>
          <w:sz w:val="22"/>
        </w:rPr>
        <w:t>*Received: 2026-05-25 &amp;emsp; Revised: To be determined*</w:t>
      </w:r>
    </w:p>
    <w:p>
      <w:pPr>
        <w:spacing w:before="20" w:after="20"/>
      </w:pPr>
      <w:r>
        <w:rPr>
          <w:rFonts w:ascii="TNR" w:hAnsi="TNR"/>
          <w:color w:val="222222"/>
          <w:sz w:val="22"/>
        </w:rPr>
        <w:t>*Funding: Chengdu University Excellent Course Construction Project*</w:t>
      </w:r>
    </w:p>
    <w:p>
      <w:pPr>
        <w:spacing w:before="20" w:after="20"/>
      </w:pPr>
      <w:r>
        <w:rPr>
          <w:rFonts w:ascii="TNR" w:hAnsi="TNR"/>
          <w:color w:val="222222"/>
          <w:sz w:val="22"/>
        </w:rPr>
        <w:t>*Author Biography: HUANG Zhengwen (19XX—), male, Professor, Master's Supervisor. Research interests: inclusive education in resources and environment. E-mail: xxxx@cdu.edu.cn.*</w:t>
      </w:r>
    </w:p>
    <w:p>
      <w:pPr>
        <w:spacing w:before="20" w:after="20"/>
      </w:pPr>
      <w:r>
        <w:rPr>
          <w:rFonts w:ascii="TNR" w:hAnsi="TNR"/>
          <w:color w:val="222222"/>
          <w:sz w:val="22"/>
        </w:rPr>
        <w:t>*Conflict of Interest Statement: None.*</w:t>
      </w:r>
    </w:p>
    <w:p>
      <w:r>
        <w:br w:type="page"/>
      </w:r>
    </w:p>
    <w:p>
      <w:pPr>
        <w:spacing w:before="400" w:after="240"/>
        <w:jc w:val="center"/>
      </w:pPr>
      <w:r>
        <w:rPr>
          <w:rFonts w:ascii="TNR" w:hAnsi="TNR"/>
          <w:b/>
          <w:color w:val="1A3A5C"/>
          <w:sz w:val="28"/>
        </w:rPr>
        <w:t>SUBMISSION INFORMATION</w:t>
      </w:r>
    </w:p>
    <w:p>
      <w:pPr>
        <w:spacing w:before="40" w:after="40"/>
      </w:pPr>
      <w:r>
        <w:rPr>
          <w:rFonts w:ascii="Times New Roman" w:hAnsi="Times New Roman"/>
          <w:b/>
          <w:color w:val="5B9BD5"/>
          <w:sz w:val="22"/>
        </w:rPr>
        <w:t xml:space="preserve">TARGET JOURNAL (PRIMARY): </w:t>
      </w:r>
      <w:r>
        <w:rPr>
          <w:rFonts w:ascii="Times New Roman" w:hAnsi="Times New Roman"/>
          <w:color w:val="222222"/>
          <w:sz w:val="22"/>
        </w:rPr>
        <w:t>Malaysian Journal of Learning and Instruction (MJLI)</w:t>
      </w:r>
    </w:p>
    <w:p>
      <w:pPr>
        <w:spacing w:before="40" w:after="40"/>
      </w:pPr>
      <w:r>
        <w:rPr>
          <w:rFonts w:ascii="Times New Roman" w:hAnsi="Times New Roman"/>
          <w:b/>
          <w:color w:val="5B9BD5"/>
          <w:sz w:val="22"/>
        </w:rPr>
        <w:t xml:space="preserve">Country: </w:t>
      </w:r>
      <w:r>
        <w:rPr>
          <w:rFonts w:ascii="Times New Roman" w:hAnsi="Times New Roman"/>
          <w:color w:val="222222"/>
          <w:sz w:val="22"/>
        </w:rPr>
        <w:t>Malaysia</w:t>
      </w:r>
    </w:p>
    <w:p>
      <w:pPr>
        <w:spacing w:before="40" w:after="40"/>
      </w:pPr>
      <w:r>
        <w:rPr>
          <w:rFonts w:ascii="Times New Roman" w:hAnsi="Times New Roman"/>
          <w:b/>
          <w:color w:val="5B9BD5"/>
          <w:sz w:val="22"/>
        </w:rPr>
        <w:t xml:space="preserve">Publisher: </w:t>
      </w:r>
      <w:r>
        <w:rPr>
          <w:rFonts w:ascii="Times New Roman" w:hAnsi="Times New Roman"/>
          <w:color w:val="222222"/>
          <w:sz w:val="22"/>
        </w:rPr>
        <w:t>UUM Press, Universiti Utara Malaysia</w:t>
      </w:r>
    </w:p>
    <w:p>
      <w:pPr>
        <w:spacing w:before="40" w:after="40"/>
      </w:pPr>
      <w:r>
        <w:rPr>
          <w:rFonts w:ascii="Times New Roman" w:hAnsi="Times New Roman"/>
          <w:b/>
          <w:color w:val="5B9BD5"/>
          <w:sz w:val="22"/>
        </w:rPr>
        <w:t xml:space="preserve">ISSN: </w:t>
      </w:r>
      <w:r>
        <w:rPr>
          <w:rFonts w:ascii="Times New Roman" w:hAnsi="Times New Roman"/>
          <w:color w:val="222222"/>
          <w:sz w:val="22"/>
        </w:rPr>
        <w:t>1675-8110</w:t>
      </w:r>
    </w:p>
    <w:p>
      <w:pPr>
        <w:spacing w:before="40" w:after="40"/>
      </w:pPr>
      <w:r>
        <w:rPr>
          <w:rFonts w:ascii="Times New Roman" w:hAnsi="Times New Roman"/>
          <w:b/>
          <w:color w:val="5B9BD5"/>
          <w:sz w:val="22"/>
        </w:rPr>
        <w:t xml:space="preserve">Scopus Quartile: </w:t>
      </w:r>
      <w:r>
        <w:rPr>
          <w:rFonts w:ascii="Times New Roman" w:hAnsi="Times New Roman"/>
          <w:color w:val="222222"/>
          <w:sz w:val="22"/>
        </w:rPr>
        <w:t>Q3</w:t>
      </w:r>
    </w:p>
    <w:p>
      <w:pPr>
        <w:spacing w:before="40" w:after="40"/>
      </w:pPr>
      <w:r>
        <w:rPr>
          <w:rFonts w:ascii="Times New Roman" w:hAnsi="Times New Roman"/>
          <w:b/>
          <w:color w:val="5B9BD5"/>
          <w:sz w:val="22"/>
        </w:rPr>
        <w:t xml:space="preserve">Indexing: </w:t>
      </w:r>
      <w:r>
        <w:rPr>
          <w:rFonts w:ascii="Times New Roman" w:hAnsi="Times New Roman"/>
          <w:color w:val="222222"/>
          <w:sz w:val="22"/>
        </w:rPr>
        <w:t>Scopus, Web of Science (ESCI), MyCite</w:t>
      </w:r>
    </w:p>
    <w:p>
      <w:pPr>
        <w:spacing w:before="40" w:after="40"/>
      </w:pPr>
      <w:r>
        <w:rPr>
          <w:rFonts w:ascii="Times New Roman" w:hAnsi="Times New Roman"/>
          <w:b/>
          <w:color w:val="5B9BD5"/>
          <w:sz w:val="22"/>
        </w:rPr>
        <w:t xml:space="preserve">Submission URL: </w:t>
      </w:r>
      <w:r>
        <w:rPr>
          <w:rFonts w:ascii="Times New Roman" w:hAnsi="Times New Roman"/>
          <w:color w:val="222222"/>
          <w:sz w:val="22"/>
        </w:rPr>
        <w:t>https://e-journal.uum.edu.my/index.php/mjli/</w:t>
      </w:r>
    </w:p>
    <w:p>
      <w:pPr>
        <w:spacing w:before="40" w:after="40"/>
      </w:pPr>
      <w:r>
        <w:rPr>
          <w:rFonts w:ascii="Times New Roman" w:hAnsi="Times New Roman"/>
          <w:b/>
          <w:color w:val="5B9BD5"/>
          <w:sz w:val="22"/>
        </w:rPr>
        <w:t xml:space="preserve">Reference Style: </w:t>
      </w:r>
      <w:r>
        <w:rPr>
          <w:rFonts w:ascii="Times New Roman" w:hAnsi="Times New Roman"/>
          <w:color w:val="222222"/>
          <w:sz w:val="22"/>
        </w:rPr>
        <w:t>APA 7th</w:t>
      </w:r>
    </w:p>
    <w:p>
      <w:pPr>
        <w:spacing w:before="40" w:after="40"/>
      </w:pPr>
      <w:r>
        <w:rPr>
          <w:rFonts w:ascii="Times New Roman" w:hAnsi="Times New Roman"/>
          <w:b/>
          <w:color w:val="5B9BD5"/>
          <w:sz w:val="22"/>
        </w:rPr>
        <w:t xml:space="preserve">Line Spacing: </w:t>
      </w:r>
      <w:r>
        <w:rPr>
          <w:rFonts w:ascii="Times New Roman" w:hAnsi="Times New Roman"/>
          <w:color w:val="222222"/>
          <w:sz w:val="22"/>
        </w:rPr>
        <w:t>double</w:t>
      </w:r>
    </w:p>
    <w:p>
      <w:pPr>
        <w:spacing w:before="40" w:after="40"/>
      </w:pPr>
      <w:r>
        <w:rPr>
          <w:rFonts w:ascii="Times New Roman" w:hAnsi="Times New Roman"/>
          <w:b/>
          <w:color w:val="5B9BD5"/>
          <w:sz w:val="22"/>
        </w:rPr>
        <w:t xml:space="preserve">Abstract: </w:t>
      </w:r>
      <w:r>
        <w:rPr>
          <w:rFonts w:ascii="Times New Roman" w:hAnsi="Times New Roman"/>
          <w:color w:val="222222"/>
          <w:sz w:val="22"/>
        </w:rPr>
        <w:t>150-250 words</w:t>
      </w:r>
    </w:p>
    <w:p>
      <w:pPr>
        <w:spacing w:before="40" w:after="40"/>
      </w:pPr>
      <w:r>
        <w:rPr>
          <w:rFonts w:ascii="Times New Roman" w:hAnsi="Times New Roman"/>
          <w:b/>
          <w:color w:val="5B9BD5"/>
          <w:sz w:val="22"/>
        </w:rPr>
        <w:t xml:space="preserve">Keywords: </w:t>
      </w:r>
      <w:r>
        <w:rPr>
          <w:rFonts w:ascii="Times New Roman" w:hAnsi="Times New Roman"/>
          <w:color w:val="222222"/>
          <w:sz w:val="22"/>
        </w:rPr>
        <w:t>4-6</w:t>
      </w:r>
    </w:p>
    <w:p>
      <w:pPr>
        <w:spacing w:before="40" w:after="40"/>
      </w:pPr>
      <w:r>
        <w:rPr>
          <w:rFonts w:ascii="Times New Roman" w:hAnsi="Times New Roman"/>
          <w:b/>
          <w:color w:val="5B9BD5"/>
          <w:sz w:val="22"/>
        </w:rPr>
        <w:t xml:space="preserve">Review Type: </w:t>
      </w:r>
      <w:r>
        <w:rPr>
          <w:rFonts w:ascii="Times New Roman" w:hAnsi="Times New Roman"/>
          <w:color w:val="222222"/>
          <w:sz w:val="22"/>
        </w:rPr>
        <w:t>Double-blind</w:t>
      </w:r>
    </w:p>
    <w:p>
      <w:pPr>
        <w:spacing w:before="40" w:after="40"/>
      </w:pPr>
      <w:r>
        <w:rPr>
          <w:rFonts w:ascii="Times New Roman" w:hAnsi="Times New Roman"/>
          <w:b/>
          <w:color w:val="5B9BD5"/>
          <w:sz w:val="22"/>
        </w:rPr>
        <w:t xml:space="preserve">APC: </w:t>
      </w:r>
      <w:r>
        <w:rPr>
          <w:rFonts w:ascii="Times New Roman" w:hAnsi="Times New Roman"/>
          <w:color w:val="222222"/>
          <w:sz w:val="22"/>
        </w:rPr>
        <w:t>Free</w:t>
      </w:r>
    </w:p>
    <w:p>
      <w:pPr>
        <w:spacing w:before="40" w:after="40"/>
      </w:pPr>
      <w:r>
        <w:rPr>
          <w:rFonts w:ascii="Times New Roman" w:hAnsi="Times New Roman"/>
          <w:b/>
          <w:color w:val="5B9BD5"/>
          <w:sz w:val="22"/>
        </w:rPr>
        <w:t xml:space="preserve">Frequency: </w:t>
      </w:r>
      <w:r>
        <w:rPr>
          <w:rFonts w:ascii="Times New Roman" w:hAnsi="Times New Roman"/>
          <w:color w:val="222222"/>
          <w:sz w:val="22"/>
        </w:rPr>
        <w:t>2 issues/year</w:t>
      </w:r>
    </w:p>
    <w:p>
      <w:pPr>
        <w:spacing w:before="280" w:after="80"/>
      </w:pPr>
      <w:r>
        <w:rPr>
          <w:rFonts w:ascii="TNR" w:hAnsi="TNR"/>
          <w:color w:val="222222"/>
          <w:sz w:val="12"/>
        </w:rPr>
      </w:r>
    </w:p>
    <w:p>
      <w:pPr>
        <w:spacing w:before="200" w:after="40"/>
      </w:pPr>
      <w:r>
        <w:rPr>
          <w:rFonts w:ascii="TNR" w:hAnsi="TNR"/>
          <w:b/>
          <w:color w:val="5B9BD5"/>
          <w:sz w:val="24"/>
        </w:rPr>
        <w:t>BACKUP JOURNAL</w:t>
      </w:r>
    </w:p>
    <w:p>
      <w:r>
        <w:rPr>
          <w:color w:val="222222"/>
          <w:sz w:val="22"/>
        </w:rPr>
        <w:t>International Journal of Instruction (IJI) (Turkey / International)</w:t>
      </w:r>
    </w:p>
    <w:p>
      <w:pPr>
        <w:spacing w:before="0" w:after="80"/>
      </w:pPr>
      <w:r>
        <w:rPr>
          <w:rFonts w:ascii="TNR" w:hAnsi="TNR"/>
          <w:color w:val="777777"/>
          <w:sz w:val="20"/>
        </w:rPr>
        <w:t>URL: https://www.e-iji.net/</w:t>
      </w:r>
    </w:p>
    <w:p>
      <w:pPr>
        <w:spacing w:before="280" w:after="80"/>
      </w:pPr>
      <w:r>
        <w:rPr>
          <w:rFonts w:ascii="TNR" w:hAnsi="TNR"/>
          <w:color w:val="222222"/>
          <w:sz w:val="12"/>
        </w:rPr>
      </w:r>
    </w:p>
    <w:p>
      <w:pPr>
        <w:spacing w:before="200" w:after="40"/>
      </w:pPr>
      <w:r>
        <w:rPr>
          <w:rFonts w:ascii="TNR" w:hAnsi="TNR"/>
          <w:b/>
          <w:color w:val="5B9BD5"/>
          <w:sz w:val="24"/>
        </w:rPr>
        <w:t>SUBMISSION NOTES</w:t>
      </w:r>
    </w:p>
    <w:p>
      <w:pPr>
        <w:spacing w:before="0" w:after="40"/>
      </w:pPr>
      <w:r>
        <w:rPr>
          <w:rFonts w:ascii="TNR" w:hAnsi="TNR"/>
          <w:color w:val="777777"/>
          <w:sz w:val="20"/>
        </w:rPr>
        <w:t>- Authors listed as: XIE Zeyu (Shinawatra University), Co-author (Chengdu University), HUANG Zhengwen* (Corresponding Author, Chengdu University)</w:t>
      </w:r>
    </w:p>
    <w:p>
      <w:pPr>
        <w:spacing w:before="0" w:after="40"/>
      </w:pPr>
      <w:r>
        <w:rPr>
          <w:rFonts w:ascii="TNR" w:hAnsi="TNR"/>
          <w:color w:val="777777"/>
          <w:sz w:val="20"/>
        </w:rPr>
        <w:t>- Manuscript adheres to IMRaD structure as required by the journal.</w:t>
      </w:r>
    </w:p>
    <w:p>
      <w:pPr>
        <w:spacing w:before="0" w:after="40"/>
      </w:pPr>
      <w:r>
        <w:rPr>
          <w:rFonts w:ascii="TNR" w:hAnsi="TNR"/>
          <w:color w:val="777777"/>
          <w:sz w:val="20"/>
        </w:rPr>
        <w:t>- All data sourced from the graduate course demo portal at https://zhengwen69.github.io/cdu-gufei-web-demo/</w:t>
      </w:r>
    </w:p>
    <w:p>
      <w:pPr>
        <w:spacing w:before="0" w:after="40"/>
      </w:pPr>
      <w:r>
        <w:rPr>
          <w:rFonts w:ascii="TNR" w:hAnsi="TNR"/>
          <w:color w:val="777777"/>
          <w:sz w:val="20"/>
        </w:rPr>
        <w:t>- No funding conflict declared. Ethics approval not required (educational methodology research).</w:t>
      </w:r>
    </w:p>
    <w:p>
      <w:pPr>
        <w:spacing w:before="0" w:after="40"/>
      </w:pPr>
      <w:r>
        <w:rPr>
          <w:rFonts w:ascii="TNR" w:hAnsi="TNR"/>
          <w:color w:val="777777"/>
          <w:sz w:val="20"/>
        </w:rPr>
        <w:t>- Pre-submission: Verify manuscript formatting against latest journal template and author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