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320"/>
        <w:jc w:val="center"/>
      </w:pPr>
      <w:r>
        <w:rPr>
          <w:rFonts w:ascii="黑体" w:hAnsi="黑体" w:eastAsia="黑体"/>
          <w:b/>
          <w:sz w:val="36"/>
        </w:rPr>
        <w:t>第二章　四维教学法的理论基础</w:t>
      </w:r>
    </w:p>
    <w:p>
      <w:pPr>
        <w:spacing w:before="360" w:after="200"/>
      </w:pPr>
      <w:r>
        <w:rPr>
          <w:rFonts w:ascii="黑体" w:hAnsi="黑体" w:eastAsia="黑体"/>
          <w:b/>
          <w:sz w:val="30"/>
        </w:rPr>
        <w:t>2.1　四维教学法的理论溯源</w:t>
      </w:r>
    </w:p>
    <w:p>
      <w:pPr>
        <w:spacing w:before="0" w:after="40" w:line="360" w:lineRule="auto"/>
        <w:ind w:firstLine="420"/>
      </w:pPr>
      <w:r>
        <w:rPr>
          <w:rFonts w:ascii="Times New Roman" w:hAnsi="Times New Roman" w:eastAsia="宋体"/>
          <w:sz w:val="21"/>
        </w:rPr>
        <w:t>“叙·框·境·创”四维教学法非凭空构设，每一维度均有成熟经典教育理论为其学理根柢。本书第一章已诊出工科研究生课堂之三重结构性困境——案例脱离情境、课堂远离场景、产出止于评分——此三问非某一教学技巧可弥合，所呼唤者乃一自教学目标倒推而来之完整方法体系。本章依次梳理四根理论支柱：叙事学习理论何以支撑“叙”之维度，建构主义何以赋予“框”以工具理性，情境学习理论何以证成“境”之淬炼必要，成果导向教育何以将“创”锚定为教学闭环之终极指向。四论非平行罗列，乃一自认知入口、经工具建构、场景淬炼至产出闭环之递进式逻辑链条——此递进关系本身亦具扎实教育学理论依据</w:t>
      </w:r>
      <w:r>
        <w:rPr>
          <w:rFonts w:ascii="Times New Roman" w:hAnsi="Times New Roman"/>
          <w:sz w:val="15"/>
          <w:vertAlign w:val="superscript"/>
        </w:rPr>
        <w:t>[61]</w:t>
      </w:r>
      <w:r>
        <w:rPr>
          <w:rFonts w:ascii="Times New Roman" w:hAnsi="Times New Roman" w:eastAsia="宋体"/>
          <w:sz w:val="21"/>
        </w:rPr>
      </w:r>
      <w:r>
        <w:rPr>
          <w:rFonts w:ascii="Times New Roman" w:hAnsi="Times New Roman"/>
          <w:sz w:val="15"/>
          <w:vertAlign w:val="superscript"/>
        </w:rPr>
        <w:t>[62]</w:t>
      </w:r>
      <w:r>
        <w:rPr>
          <w:rFonts w:ascii="Times New Roman" w:hAnsi="Times New Roman" w:eastAsia="宋体"/>
          <w:sz w:val="21"/>
        </w:rPr>
        <w:t>。</w:t>
      </w:r>
    </w:p>
    <w:p>
      <w:pPr>
        <w:spacing w:before="280" w:after="160"/>
      </w:pPr>
      <w:r>
        <w:rPr>
          <w:rFonts w:ascii="黑体" w:hAnsi="黑体" w:eastAsia="黑体"/>
          <w:b/>
          <w:sz w:val="26"/>
        </w:rPr>
        <w:t>2.1.1　叙事学习理论：故事作为认知入口</w:t>
      </w:r>
    </w:p>
    <w:p>
      <w:pPr>
        <w:spacing w:before="0" w:after="40" w:line="360" w:lineRule="auto"/>
        <w:ind w:firstLine="420"/>
      </w:pPr>
      <w:r>
        <w:rPr>
          <w:rFonts w:ascii="Times New Roman" w:hAnsi="Times New Roman" w:eastAsia="宋体"/>
          <w:sz w:val="21"/>
        </w:rPr>
        <w:t>Bruner于1991年在《Critical Inquiry》发表《The Narrative Construction of Reality》，明确提出核心论断：人类认知活动之首要形式非逻辑推理，乃叙事活动——个体主要依托故事梳理生活经验、认知客观世界</w:t>
      </w:r>
      <w:r>
        <w:rPr>
          <w:rFonts w:ascii="Times New Roman" w:hAnsi="Times New Roman"/>
          <w:sz w:val="15"/>
          <w:vertAlign w:val="superscript"/>
        </w:rPr>
        <w:t>[63]</w:t>
      </w:r>
      <w:r>
        <w:rPr>
          <w:rFonts w:ascii="Times New Roman" w:hAnsi="Times New Roman" w:eastAsia="宋体"/>
          <w:sz w:val="21"/>
        </w:rPr>
        <w:t>。Egan于1986年出版《Teaching as Storytelling》，将叙事理论引入教育领域，论证叙事为兼具悠久历史与普适性之认知载体——于抽象化、去情境化之科学知识而言，叙事搭建起知识理解与学习者经验间之桥梁</w:t>
      </w:r>
      <w:r>
        <w:rPr>
          <w:rFonts w:ascii="Times New Roman" w:hAnsi="Times New Roman"/>
          <w:sz w:val="15"/>
          <w:vertAlign w:val="superscript"/>
        </w:rPr>
        <w:t>[64]</w:t>
      </w:r>
      <w:r>
        <w:rPr>
          <w:rFonts w:ascii="Times New Roman" w:hAnsi="Times New Roman" w:eastAsia="宋体"/>
          <w:sz w:val="21"/>
        </w:rPr>
        <w:t>。学习者接触全新理论体系时，首先关注者非理论之严谨性，乃理论与自身经验之关联性——叙事恰在专业理论与个体经验间建立此联结。</w:t>
      </w:r>
    </w:p>
    <w:p>
      <w:pPr>
        <w:spacing w:before="0" w:after="40" w:line="360" w:lineRule="auto"/>
        <w:ind w:firstLine="420"/>
      </w:pPr>
      <w:r>
        <w:rPr>
          <w:rFonts w:ascii="Times New Roman" w:hAnsi="Times New Roman" w:eastAsia="宋体"/>
          <w:sz w:val="21"/>
        </w:rPr>
        <w:t>叙事学习理论在工科研究生教育中具突出应用价值。固废治理领域所提出之空间错配、技术错配、行为错配、人文错配，均属高度抽象之分析模型。若课堂中直接罗列概念定义，学生仅能机械记忆文字，难以形成直观认知。据叙事学习理论，可将故事设为认知前置环节——学生先遭遇《龙栖湾》老农“一亩三分地没了”之叙事，在情感共鸣中生成“为什么会这样”之追问，而后接触“空间错配五维框架”时，此框架不再是外在于其经验之抽象定义，乃对其已产生之追问的结构化回应。Bruner区分范式性认知（以逻辑因果组织知识）与叙事性认知（以情节、意图与情感组织理解），该区分于课程中获得直接教学应用：“叙”维度先以叙事性认知激发学习动机与直观理解，再循次搭建范式性认知之分析框架</w:t>
      </w:r>
      <w:r>
        <w:rPr>
          <w:rFonts w:ascii="Times New Roman" w:hAnsi="Times New Roman"/>
          <w:sz w:val="15"/>
          <w:vertAlign w:val="superscript"/>
        </w:rPr>
        <w:t>[63]</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从认知心理学视角视之，叙事有效降低学习认知门槛。据认知负荷理论，具象化情境载体可削减知识学习过程中之内在认知负荷，降理解难度</w:t>
      </w:r>
      <w:r>
        <w:rPr>
          <w:rFonts w:ascii="Times New Roman" w:hAnsi="Times New Roman"/>
          <w:sz w:val="15"/>
          <w:vertAlign w:val="superscript"/>
        </w:rPr>
        <w:t>[65]</w:t>
      </w:r>
      <w:r>
        <w:rPr>
          <w:rFonts w:ascii="Times New Roman" w:hAnsi="Times New Roman" w:eastAsia="宋体"/>
          <w:sz w:val="21"/>
        </w:rPr>
        <w:t>；同时，依托情节与情感形成之情景记忆，其信息提取效率与记忆留存效果显著优于单纯语义记忆</w:t>
      </w:r>
      <w:r>
        <w:rPr>
          <w:rFonts w:ascii="Times New Roman" w:hAnsi="Times New Roman"/>
          <w:sz w:val="15"/>
          <w:vertAlign w:val="superscript"/>
        </w:rPr>
        <w:t>[66]</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综上，叙事学习理论为“叙·框·境·创”四维教学法中“叙”维度之核心学理支撑。叙事非仅为活跃课堂之辅助手段，乃整体认知架构之首要环节——为后续“框”维度的工具运用、“境”维度的场景实践提供基础认知情境。无叙事之情感共鸣与思考引导，分析框架沦为冰冷抽象符号；有叙事之认知锚定，理论框架转变为回应学习者追问之实用工具——推动学生自被动知识接收转向主动问题探究，此认知转变亦为建构主义学习理论所强调之知识主动建构的心理前提</w:t>
      </w:r>
      <w:r>
        <w:rPr>
          <w:rFonts w:ascii="Times New Roman" w:hAnsi="Times New Roman"/>
          <w:sz w:val="15"/>
          <w:vertAlign w:val="superscript"/>
        </w:rPr>
        <w:t>[67]</w:t>
      </w:r>
      <w:r>
        <w:rPr>
          <w:rFonts w:ascii="Times New Roman" w:hAnsi="Times New Roman" w:eastAsia="宋体"/>
          <w:sz w:val="21"/>
        </w:rPr>
        <w:t>。</w:t>
      </w:r>
    </w:p>
    <w:p>
      <w:pPr>
        <w:spacing w:before="280" w:after="160"/>
      </w:pPr>
      <w:r>
        <w:rPr>
          <w:rFonts w:ascii="黑体" w:hAnsi="黑体" w:eastAsia="黑体"/>
          <w:b/>
          <w:sz w:val="26"/>
        </w:rPr>
        <w:t>2.1.2　建构主义学习理论：框架作为思维工具</w:t>
      </w:r>
    </w:p>
    <w:p>
      <w:pPr>
        <w:spacing w:before="0" w:after="40" w:line="360" w:lineRule="auto"/>
        <w:ind w:firstLine="420"/>
      </w:pPr>
      <w:r>
        <w:rPr>
          <w:rFonts w:ascii="Times New Roman" w:hAnsi="Times New Roman" w:eastAsia="宋体"/>
          <w:sz w:val="21"/>
        </w:rPr>
        <w:t>建构主义核心认识论可追溯至Piaget认知发展理论：知识非由外部世界被动接收，乃学习者基于既有认知结构主动建构之产物。von Glasersfeld于1989年在《Synthese》发表《Cognition, Knowledge Construction, and Teaching》，将此立场推进为激进建构主义——知识之“真值”不在于其是否镜像反映客观实在，而在于其在个体经验世界中是否具“可行性”（viable）</w:t>
      </w:r>
      <w:r>
        <w:rPr>
          <w:rFonts w:ascii="Times New Roman" w:hAnsi="Times New Roman"/>
          <w:sz w:val="15"/>
          <w:vertAlign w:val="superscript"/>
        </w:rPr>
        <w:t>[68]</w:t>
      </w:r>
      <w:r>
        <w:rPr>
          <w:rFonts w:ascii="Times New Roman" w:hAnsi="Times New Roman" w:eastAsia="宋体"/>
          <w:sz w:val="21"/>
        </w:rPr>
        <w:t>。将此认识论投射至研究生课堂：学生习得“错配-修复框架”后，该框架教学有效性之评价标准，非其理论体系是否完备自洽，乃学生能否于案例分析中切实感知其解释力与工具价值——此正为“框”维度教学设计之核心旨归。</w:t>
      </w:r>
    </w:p>
    <w:p>
      <w:pPr>
        <w:spacing w:before="0" w:after="40" w:line="360" w:lineRule="auto"/>
        <w:ind w:firstLine="420"/>
      </w:pPr>
      <w:r>
        <w:rPr>
          <w:rFonts w:ascii="Times New Roman" w:hAnsi="Times New Roman" w:eastAsia="宋体"/>
          <w:sz w:val="21"/>
        </w:rPr>
        <w:t>教师在呈现框架前，先引导学生依托直觉完成案例分析，使其充分暴露直觉分析之模糊性、碎片化与不可通约性；继而引入分析框架，指导学生以同一案例进行二次分析，通过前后对比直观凸显框架之结构化优势，促成学生在自主发现工具价值之过程中完成深度掌握</w:t>
      </w:r>
      <w:r>
        <w:rPr>
          <w:rFonts w:ascii="Times New Roman" w:hAnsi="Times New Roman"/>
          <w:sz w:val="15"/>
          <w:vertAlign w:val="superscript"/>
        </w:rPr>
        <w:t>[69]</w:t>
      </w:r>
      <w:r>
        <w:rPr>
          <w:rFonts w:ascii="Times New Roman" w:hAnsi="Times New Roman" w:eastAsia="宋体"/>
          <w:sz w:val="21"/>
        </w:rPr>
        <w:t>。此过程完全契建构主义“认知冲突→概念重构”之核心机制：直觉分析引发“解释力不足”之认知失衡，构成认知冲突；框架介入后实现之“结构化解释”，推动学生完成认知结构之重组与升级。</w:t>
      </w:r>
    </w:p>
    <w:p>
      <w:pPr>
        <w:spacing w:before="0" w:after="40" w:line="360" w:lineRule="auto"/>
        <w:ind w:firstLine="420"/>
      </w:pPr>
      <w:r>
        <w:rPr>
          <w:rFonts w:ascii="Times New Roman" w:hAnsi="Times New Roman" w:eastAsia="宋体"/>
          <w:sz w:val="21"/>
        </w:rPr>
        <w:t>在“叙·框·境·创”四维体系中，建构主义为“框”维度提供坚实学理根基——将框架定位为可迁移之思维工具而非需识记之知识成品，从根本上区别于传统讲授范式</w:t>
      </w:r>
      <w:r>
        <w:rPr>
          <w:rFonts w:ascii="Times New Roman" w:hAnsi="Times New Roman"/>
          <w:sz w:val="15"/>
          <w:vertAlign w:val="superscript"/>
        </w:rPr>
        <w:t>[70]</w:t>
      </w:r>
      <w:r>
        <w:rPr>
          <w:rFonts w:ascii="Times New Roman" w:hAnsi="Times New Roman" w:eastAsia="宋体"/>
          <w:sz w:val="21"/>
        </w:rPr>
        <w:t>。传统教学视框架为教师传递之既定知识，问“学生记住了没有”；建构主义视框架为学生须自主装配、反复调试之认知工具，问“学生能运用没有”。二者本质差异对应Bloom认知目标分类学之不同层级：前者指向识记（Remember）低阶认知，后者指向应用（Apply）、分析（Analyze）高阶认知</w:t>
      </w:r>
      <w:r>
        <w:rPr>
          <w:rFonts w:ascii="Times New Roman" w:hAnsi="Times New Roman"/>
          <w:sz w:val="15"/>
          <w:vertAlign w:val="superscript"/>
        </w:rPr>
        <w:t>[71]</w:t>
      </w:r>
      <w:r>
        <w:rPr>
          <w:rFonts w:ascii="Times New Roman" w:hAnsi="Times New Roman" w:eastAsia="宋体"/>
          <w:sz w:val="21"/>
        </w:rPr>
      </w:r>
      <w:r>
        <w:rPr>
          <w:rFonts w:ascii="Times New Roman" w:hAnsi="Times New Roman"/>
          <w:sz w:val="15"/>
          <w:vertAlign w:val="superscript"/>
        </w:rPr>
        <w:t>[72]</w:t>
      </w:r>
      <w:r>
        <w:rPr>
          <w:rFonts w:ascii="Times New Roman" w:hAnsi="Times New Roman" w:eastAsia="宋体"/>
          <w:sz w:val="21"/>
        </w:rPr>
        <w:t>。</w:t>
      </w:r>
    </w:p>
    <w:p>
      <w:pPr>
        <w:spacing w:before="280" w:after="160"/>
      </w:pPr>
      <w:r>
        <w:rPr>
          <w:rFonts w:ascii="黑体" w:hAnsi="黑体" w:eastAsia="黑体"/>
          <w:b/>
          <w:sz w:val="26"/>
        </w:rPr>
        <w:t>2.1.3　情境学习理论：场景作为能力熔炉</w:t>
      </w:r>
    </w:p>
    <w:p>
      <w:pPr>
        <w:spacing w:before="0" w:after="40" w:line="360" w:lineRule="auto"/>
        <w:ind w:firstLine="420"/>
      </w:pPr>
      <w:r>
        <w:rPr>
          <w:rFonts w:ascii="Times New Roman" w:hAnsi="Times New Roman" w:eastAsia="宋体"/>
          <w:sz w:val="21"/>
        </w:rPr>
        <w:t>Lave与Wenger于1991年出版《Situated Learning: Legitimate Peripheral Participation》，系统提出情境学习核心主张：学习无法脱离具体情境独立发生，认知本质上是情境化之实践活动</w:t>
      </w:r>
      <w:r>
        <w:rPr>
          <w:rFonts w:ascii="Times New Roman" w:hAnsi="Times New Roman"/>
          <w:sz w:val="15"/>
          <w:vertAlign w:val="superscript"/>
        </w:rPr>
        <w:t>[73]</w:t>
      </w:r>
      <w:r>
        <w:rPr>
          <w:rFonts w:ascii="Times New Roman" w:hAnsi="Times New Roman" w:eastAsia="宋体"/>
          <w:sz w:val="21"/>
        </w:rPr>
        <w:t>。该理论最初基于裁缝学徒、水手、助产士等传统师徒制实践之民族志研究提炼，后续研究进一步拓展其课堂教学适用性：知识之习得与迁移高度依赖应用情境，去情境化课堂中获得之抽象知识，于真实复杂问题场景中之迁移效率显著偏低。Brown、Collins与Duguid于1989年在《Situated Cognition and the Culture of Learning》一文中以更直接之语言阐明：“概念知识与情境知识之关系如同工具与使用场景——掌握扳手之物理属性不等于掌握其在复杂机械中拆卸锈蚀螺栓之实践技能。”工具之真正掌握，必然发生于真实场景之实践运用之中</w:t>
      </w:r>
      <w:r>
        <w:rPr>
          <w:rFonts w:ascii="Times New Roman" w:hAnsi="Times New Roman"/>
          <w:sz w:val="15"/>
          <w:vertAlign w:val="superscript"/>
        </w:rPr>
        <w:t>[74]</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情境学习理论为“叙·框·境·创”四维教学法之“境”维度提供直接学理依据。前两维度（叙→框）已完成“认知激活→工具掌握”之基础教学闭环，但建构主义所强调之框架运用能力，仅在半结构化、低压力的课堂练习中得到初步验证——学生于安静无干扰环境下，依托已知数据完成案例推理。情境学习理论之核心追问在于：此能力于真实高压场景中是否依然有效？当固废治理工程师置身公众听证会，直面公众质疑、媒体监督与同行审视时——其调用“选址正义性四维框架”之认知负荷、决策压力与课堂练习场景存在本质差异</w:t>
      </w:r>
      <w:r>
        <w:rPr>
          <w:rFonts w:ascii="Times New Roman" w:hAnsi="Times New Roman"/>
          <w:sz w:val="15"/>
          <w:vertAlign w:val="superscript"/>
        </w:rPr>
        <w:t>[75]</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情境学习理论揭示：专业能力之高阶养成，不在于知识初次习得，而在于复杂情境中反复淬炼之后方成。“境”维度设计之六类沉浸式场景脚本（模拟听证会、模拟诉讼、危机应对、技术辩论等），正是情境学习理论在现代工程教育中之本土化实践——构建“合法的边缘参与”之模拟场域，使学生以准工程师身份部分参与真实工程决策，在角色代入与责任承担中，完成自“案例分析者”至“实践决策者”之认知身份跃迁。</w:t>
      </w:r>
    </w:p>
    <w:p>
      <w:pPr>
        <w:spacing w:before="280" w:after="160"/>
      </w:pPr>
      <w:r>
        <w:rPr>
          <w:rFonts w:ascii="黑体" w:hAnsi="黑体" w:eastAsia="黑体"/>
          <w:b/>
          <w:sz w:val="26"/>
        </w:rPr>
        <w:t>2.1.4　成果导向教育：创造作为学习闭环</w:t>
      </w:r>
    </w:p>
    <w:p>
      <w:pPr>
        <w:spacing w:before="0" w:after="40" w:line="360" w:lineRule="auto"/>
        <w:ind w:firstLine="420"/>
      </w:pPr>
      <w:r>
        <w:rPr>
          <w:rFonts w:ascii="Times New Roman" w:hAnsi="Times New Roman" w:eastAsia="宋体"/>
          <w:sz w:val="21"/>
        </w:rPr>
        <w:t>成果导向教育（Outcome-Based Education, OBE）为当代工程教育改革核心范式之一，Spady于1994年在其专著《Outcome-Based Education: Critical Issues and Answers》中系统构建完整理论体系</w:t>
      </w:r>
      <w:r>
        <w:rPr>
          <w:rFonts w:ascii="Times New Roman" w:hAnsi="Times New Roman"/>
          <w:sz w:val="15"/>
          <w:vertAlign w:val="superscript"/>
        </w:rPr>
        <w:t>[76]</w:t>
      </w:r>
      <w:r>
        <w:rPr>
          <w:rFonts w:ascii="Times New Roman" w:hAnsi="Times New Roman" w:eastAsia="宋体"/>
          <w:sz w:val="21"/>
        </w:rPr>
        <w:t>。OBE核心内核为“终点逆向设计”理念——主张教学设计须以学生课程结束后可达成的综合能力与实践成果为逻辑起点，反向统筹课程内容、教学活动与考核评价全流程，彻底颠覆传统“内容导向”之顺向教学模式</w:t>
      </w:r>
      <w:r>
        <w:rPr>
          <w:rFonts w:ascii="Times New Roman" w:hAnsi="Times New Roman"/>
          <w:sz w:val="15"/>
          <w:vertAlign w:val="superscript"/>
        </w:rPr>
        <w:t>[77]</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Spady明确提出支撑OBE体系之四大核心实施原则：成果清晰聚焦（clarity of focus）——要求所有教学环节服务于可观测、可落地之学习产出；逆向顶层设计（design down）——强调从终极能力目标倒推教学路径；高阶学习期待（high expectations）——摒弃同质化评价，挖掘学生高阶发展潜能；多元机会拓展（expanded opportunity）——为不同基础学生提供适配学习路径</w:t>
      </w:r>
      <w:r>
        <w:rPr>
          <w:rFonts w:ascii="Times New Roman" w:hAnsi="Times New Roman"/>
          <w:sz w:val="15"/>
          <w:vertAlign w:val="superscript"/>
        </w:rPr>
        <w:t>[78]</w:t>
      </w:r>
      <w:r>
        <w:rPr>
          <w:rFonts w:ascii="Times New Roman" w:hAnsi="Times New Roman" w:eastAsia="宋体"/>
          <w:sz w:val="21"/>
        </w:rPr>
        <w:t>。四原则相互支撑、有机统一，构建以学生习得成果为核心之系统化教学哲学。</w:t>
      </w:r>
    </w:p>
    <w:p>
      <w:pPr>
        <w:spacing w:before="0" w:after="40" w:line="360" w:lineRule="auto"/>
        <w:ind w:firstLine="420"/>
      </w:pPr>
      <w:r>
        <w:rPr>
          <w:rFonts w:ascii="Times New Roman" w:hAnsi="Times New Roman" w:eastAsia="宋体"/>
          <w:sz w:val="21"/>
        </w:rPr>
        <w:t>成果导向教育为“叙·框·境·创”四维教学法之“创”维度构建完整教学闭环逻辑。前三维度（叙→框→境）依次完成认知激活、思维工具建构、场景能力淬炼之阶段性教学目标，然尚未形成可沉淀、可复用、可迁移之实体化学习成果，无法破解第一章所提出之工科课堂学习过程与实践产出脱节之核心困境</w:t>
      </w:r>
      <w:r>
        <w:rPr>
          <w:rFonts w:ascii="Times New Roman" w:hAnsi="Times New Roman"/>
          <w:sz w:val="15"/>
          <w:vertAlign w:val="superscript"/>
        </w:rPr>
        <w:t>[79]</w:t>
      </w:r>
      <w:r>
        <w:rPr>
          <w:rFonts w:ascii="Times New Roman" w:hAnsi="Times New Roman" w:eastAsia="宋体"/>
          <w:sz w:val="21"/>
        </w:rPr>
        <w:t>。传统工科课程普遍采用“作业提交—分数评定—课程结项”之浅层闭环，学生学习成果仅体现为阶段性学业分数，不具持续复用价值，难以对接工程实践与科研创新需求。</w:t>
      </w:r>
    </w:p>
    <w:p>
      <w:pPr>
        <w:spacing w:before="0" w:after="40" w:line="360" w:lineRule="auto"/>
        <w:ind w:firstLine="420"/>
      </w:pPr>
      <w:r>
        <w:rPr>
          <w:rFonts w:ascii="Times New Roman" w:hAnsi="Times New Roman" w:eastAsia="宋体"/>
          <w:sz w:val="21"/>
        </w:rPr>
        <w:t>基于OBE成果落地理念，本课程设计三轨制结课产出体系，实现学习成果实体化与长效化落地</w:t>
      </w:r>
      <w:r>
        <w:rPr>
          <w:rFonts w:ascii="Times New Roman" w:hAnsi="Times New Roman"/>
          <w:sz w:val="15"/>
          <w:vertAlign w:val="superscript"/>
        </w:rPr>
        <w:t>[80]</w:t>
      </w:r>
      <w:r>
        <w:rPr>
          <w:rFonts w:ascii="Times New Roman" w:hAnsi="Times New Roman" w:eastAsia="宋体"/>
          <w:sz w:val="21"/>
        </w:rPr>
        <w:t>。学术研究轨（A轨）产出课程研究论文，可作为后续学术科研之基础底稿；工程实践轨（B轨）产出标准化技术设计方案，可直接对接固废治理实际工程档案规范；教学反思轨（C轨）产出教学优化报告，可为课程迭代改革提供实证支撑。三类产出均贴合OBE倡导之真实场景成果导向，突破课堂学习时空局限，实现学习成果自“课程任务”向“科研储备、工程应用、教学赋能”之价值升级，充分彰显四维教学法“创以致用”之核心要义</w:t>
      </w:r>
      <w:r>
        <w:rPr>
          <w:rFonts w:ascii="Times New Roman" w:hAnsi="Times New Roman"/>
          <w:sz w:val="15"/>
          <w:vertAlign w:val="superscript"/>
        </w:rPr>
        <w:t>[81]</w:t>
      </w:r>
      <w:r>
        <w:rPr>
          <w:rFonts w:ascii="Times New Roman" w:hAnsi="Times New Roman" w:eastAsia="宋体"/>
          <w:sz w:val="21"/>
        </w:rPr>
        <w:t>。</w:t>
      </w:r>
    </w:p>
    <w:p>
      <w:pPr>
        <w:spacing w:before="280" w:after="160"/>
      </w:pPr>
      <w:r>
        <w:rPr>
          <w:rFonts w:ascii="黑体" w:hAnsi="黑体" w:eastAsia="黑体"/>
          <w:b/>
          <w:sz w:val="26"/>
        </w:rPr>
        <w:t>2.1.5　四维递进的内在逻辑：从认知激活到知识再生产</w:t>
      </w:r>
    </w:p>
    <w:p>
      <w:pPr>
        <w:spacing w:before="0" w:after="40" w:line="360" w:lineRule="auto"/>
        <w:ind w:firstLine="420"/>
      </w:pPr>
      <w:r>
        <w:rPr>
          <w:rFonts w:ascii="Times New Roman" w:hAnsi="Times New Roman" w:eastAsia="宋体"/>
          <w:sz w:val="21"/>
        </w:rPr>
        <w:t>“叙·框·境·创”四维教学维度并非简单并列组合或线性时序叠加，乃契合人类认知发展规律、认知层级逐级攀升之递进式知识加工链条，各维度精准对应不同认知发展阶段，形成完整认知成长体系</w:t>
      </w:r>
      <w:r>
        <w:rPr>
          <w:rFonts w:ascii="Times New Roman" w:hAnsi="Times New Roman"/>
          <w:sz w:val="15"/>
          <w:vertAlign w:val="superscript"/>
        </w:rPr>
        <w:t>[82]</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第一维度“叙”（叙事学习）为教学认知之基础入口，依托叙事性认知激活学生情感共鸣与内在学习动机，聚焦感知、注意、浅层记忆之基础认知层级，解决学生学习意愿不足、理论认知疏离之初始问题。第二维度“框”（建构主义学习）实现认知层级第一次跃升，将碎片化感性经验、直观认知提炼为标准化、结构化思维分析工具，对应Bloom认知分类体系中理解、应用之中级认知层级，推动学生自被动情感感知转向主动分析操作</w:t>
      </w:r>
      <w:r>
        <w:rPr>
          <w:rFonts w:ascii="Times New Roman" w:hAnsi="Times New Roman"/>
          <w:sz w:val="15"/>
          <w:vertAlign w:val="superscript"/>
        </w:rPr>
        <w:t>[71]</w:t>
      </w:r>
      <w:r>
        <w:rPr>
          <w:rFonts w:ascii="Times New Roman" w:hAnsi="Times New Roman" w:eastAsia="宋体"/>
          <w:sz w:val="21"/>
        </w:rPr>
        <w:t>。第三维度“境”（情境学习）聚焦能力之实战化淬炼，将课堂习得之分析框架、思维工具置于准真实、高压力之工程场景中迭代验证，衔接应用、分析之高阶认知层级——区别于低压力、标准化课堂练习，沉浸式场景教学可充分检验学生工具运用之灵活性、准确性与实用性，实现自“会用理论”至“善用理论解决复杂问题”之能力升级。第四维度“创”（成果导向教育）抵达认知体系之最高层级，通过知识整合、创新重构、成果输出，完成评价、创造之顶级认知任务，实现完整知识再生产闭环</w:t>
      </w:r>
      <w:r>
        <w:rPr>
          <w:rFonts w:ascii="Times New Roman" w:hAnsi="Times New Roman"/>
          <w:sz w:val="15"/>
          <w:vertAlign w:val="superscript"/>
        </w:rPr>
        <w:t>[72]</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完整递进逻辑形成闭环式认知升级路径：学生通过课堂学习，将外部理论知识、分析框架内化为自身认知结构，再经创新整合、成果输出，将个人认知转化为可复用、可传播、可应用之实体成果，完成“外部知识输入→内部认知建构→自主知识产出”之完整再生产循环。</w:t>
      </w:r>
    </w:p>
    <w:p>
      <w:pPr>
        <w:spacing w:before="0" w:after="40" w:line="360" w:lineRule="auto"/>
        <w:ind w:firstLine="420"/>
      </w:pPr>
      <w:r>
        <w:rPr>
          <w:rFonts w:ascii="Times New Roman" w:hAnsi="Times New Roman" w:eastAsia="宋体"/>
          <w:sz w:val="21"/>
        </w:rPr>
        <w:t>四维递进体系具极强教学革新价值，构建一自“被动接收知识”至“主动创造知识”之全链条育人路径。传统工科讲授式教学仅停留在“叙、框”浅层认知阶段——完成故事导入与理论讲解即终结教学过程，将情境淬炼、创新产出等高阶能力培养后置至课后考核、岗位实践阶段，致课堂育人功能严重残缺。而“叙·框·境·创”四维教学法将基础认知、工具建构、场景实训、创新产出全部纳入课程体系内部，令学生于完整课程周期内系统完成自认知激活、工具掌握、能力淬炼至成果创造之全流程训练，使单一课程本身成为培育工科研究生高阶思维与实践创新能力之微型认知实验室。</w:t>
      </w:r>
    </w:p>
    <w:p>
      <w:pPr>
        <w:spacing w:before="0" w:after="40" w:line="360" w:lineRule="auto"/>
        <w:ind w:firstLine="420"/>
      </w:pPr>
      <w:r>
        <w:rPr>
          <w:rFonts w:ascii="Times New Roman" w:hAnsi="Times New Roman" w:eastAsia="宋体"/>
          <w:sz w:val="21"/>
        </w:rPr>
        <w:t>为进一步凸显本教学法之创新性与独特性，厘清与现有主流教学模式之差异边界，下一节将系统对比分析四维教学法与案例教学法、问题导向学习（PBL）、翻转课堂等经典教学范式之核心异同，明确本方法之独特理论贡献与实践优势——证其并非现有教学模式之简单整合与重新命名，乃适配工科研究生教育、固废治理课程场景之全新系统化教学体系。</w:t>
      </w:r>
    </w:p>
    <w:p>
      <w:pPr>
        <w:spacing w:before="360" w:after="200"/>
      </w:pPr>
      <w:r>
        <w:rPr>
          <w:rFonts w:ascii="黑体" w:hAnsi="黑体" w:eastAsia="黑体"/>
          <w:b/>
          <w:sz w:val="30"/>
        </w:rPr>
        <w:t>2.2　"叙·框·境·创"的完整学理推导</w:t>
      </w:r>
    </w:p>
    <w:p>
      <w:pPr>
        <w:spacing w:before="0" w:after="40" w:line="360" w:lineRule="auto"/>
        <w:ind w:firstLine="420"/>
      </w:pPr>
      <w:r>
        <w:rPr>
          <w:rFonts w:ascii="Times New Roman" w:hAnsi="Times New Roman" w:eastAsia="宋体"/>
          <w:sz w:val="21"/>
        </w:rPr>
        <w:t>2.1节已逐一溯源四维教学法之四根理论支柱，完成理论根基铺设。本节自“为何如此设计”转入“如何具体操作”——逐层拆解各维度之教学设计逻辑、实施载体与认知功能，阐释四维递进结构何以形成完整教学闭环，构建理论可支撑、过程可落地、成果可量化之系统化教学范式。</w:t>
      </w:r>
    </w:p>
    <w:p>
      <w:pPr>
        <w:spacing w:before="280" w:after="160"/>
      </w:pPr>
      <w:r>
        <w:rPr>
          <w:rFonts w:ascii="黑体" w:hAnsi="黑体" w:eastAsia="黑体"/>
          <w:b/>
          <w:sz w:val="26"/>
        </w:rPr>
        <w:t>2.2.1　叙：以纪实小说触发感性认知的叙事设计</w:t>
      </w:r>
    </w:p>
    <w:p>
      <w:pPr>
        <w:spacing w:before="0" w:after="40" w:line="360" w:lineRule="auto"/>
        <w:ind w:firstLine="420"/>
      </w:pPr>
      <w:r>
        <w:rPr>
          <w:rFonts w:ascii="Times New Roman" w:hAnsi="Times New Roman" w:eastAsia="宋体"/>
          <w:sz w:val="21"/>
        </w:rPr>
        <w:t>“叙”为四维教学体系之认知起始环节，核心教学设计旨在破解工科研究生抽象理论学习的动机困境：于有限32学时课程周期内，如何引导学生主动建立与晦涩分析框架之认知联结，形成内生性学习动机，实现自“被动听课”至“主动求知”之转变。</w:t>
      </w:r>
    </w:p>
    <w:p>
      <w:pPr>
        <w:spacing w:before="0" w:after="40" w:line="360" w:lineRule="auto"/>
        <w:ind w:firstLine="420"/>
      </w:pPr>
      <w:r>
        <w:rPr>
          <w:rFonts w:ascii="Times New Roman" w:hAnsi="Times New Roman" w:eastAsia="宋体"/>
          <w:sz w:val="21"/>
        </w:rPr>
        <w:t>传统工科课堂依托教师个人授课感染力或学生自律性维系学习状态——此模式主观性强、稳定性弱，无法形成标准化、可复制之教学体系。“叙”维度的设计给出结构化替代方案：以纪实叙事素材构建认知前置。七部已在网络小说平台发布的纪实小说（《龙栖湾》《青龙湖》《杨柳坝与刘家湾》《三多里巷》等）构成叙事素材云，从中筛选提炼21段标准化教学选段（S001-S021），各选段精准对应空间、技术、行为、人文等不同维度之错配问题。学生每周课前完成150-300字小说选段精读，在正式课堂之前已形成具象化感性认知。</w:t>
      </w:r>
    </w:p>
    <w:p>
      <w:pPr>
        <w:spacing w:before="0" w:after="40" w:line="360" w:lineRule="auto"/>
        <w:ind w:firstLine="420"/>
      </w:pPr>
      <w:r>
        <w:rPr>
          <w:rFonts w:ascii="Times New Roman" w:hAnsi="Times New Roman" w:eastAsia="宋体"/>
          <w:sz w:val="21"/>
        </w:rPr>
        <w:t>此叙事前置设计具三重认知心理学依据</w:t>
      </w:r>
      <w:r>
        <w:rPr>
          <w:rFonts w:ascii="Times New Roman" w:hAnsi="Times New Roman"/>
          <w:sz w:val="15"/>
          <w:vertAlign w:val="superscript"/>
        </w:rPr>
        <w:t>[65]</w:t>
      </w:r>
      <w:r>
        <w:rPr>
          <w:rFonts w:ascii="Times New Roman" w:hAnsi="Times New Roman" w:eastAsia="宋体"/>
          <w:sz w:val="21"/>
        </w:rPr>
        <w:t>。其一，叙事降低认知门槛。认知负荷理论指出，抽象、去情境化之专业概念大量占用工作记忆资源，产生较高内在认知负荷；具象化故事情节可为抽象理论搭建认知锚点，有效削减内在负荷[77-78]。其二，情节强化长时记忆。情景记忆之信息提取效率、记忆留存时长均显著优于语义记忆</w:t>
      </w:r>
      <w:r>
        <w:rPr>
          <w:rFonts w:ascii="Times New Roman" w:hAnsi="Times New Roman"/>
          <w:sz w:val="15"/>
          <w:vertAlign w:val="superscript"/>
        </w:rPr>
        <w:t>[66]</w:t>
      </w:r>
      <w:r>
        <w:rPr>
          <w:rFonts w:ascii="Times New Roman" w:hAnsi="Times New Roman" w:eastAsia="宋体"/>
          <w:sz w:val="21"/>
        </w:rPr>
        <w:t>——学生于王老汉“一亩三分地没了”之具象情节的保留，远胜于对“空间错配指固废设施负外部性空间非公平分布”之抽象定义的机械记忆。其三，叙事生成内生追问。叙事学习之核心价值在于重构认知逻辑——学生精读故事后，认知重心自“被动记忆知识点”转为“主动探究问题成因”，形成“为何出现治理错配”之内生追问，搭起感性经验通往理性理论之认知桥梁。</w:t>
      </w:r>
    </w:p>
    <w:p>
      <w:pPr>
        <w:spacing w:before="0" w:after="40" w:line="360" w:lineRule="auto"/>
        <w:ind w:firstLine="420"/>
      </w:pPr>
      <w:r>
        <w:rPr>
          <w:rFonts w:ascii="Times New Roman" w:hAnsi="Times New Roman" w:eastAsia="宋体"/>
          <w:sz w:val="21"/>
        </w:rPr>
        <w:t>以第1周教学设计为例可完整呈现此逻辑：学生课前精读《龙栖湾》S001选段，感知填埋场建设引发周边居民资产剥夺之现实场景；课堂阶段，教师围绕“农户核心损失维度”“技术研判之潜在疏漏”两议题组织研讨，激活认知冲突与探究欲望；学生感性认知与问题意识充分生成后，顺势引入空间错配五维分析框架——选址谬误、规划滞后、容量失衡、运输悖论、边界模糊——框架各维度均以小说选段中对应情节为实证锚点。整体教学过程构建了“故事归纳→问题提炼→理论适配”之认知路径，彻底革新传统“概念灌输→例题验证”之演绎式教学模式。</w:t>
      </w:r>
    </w:p>
    <w:p>
      <w:pPr>
        <w:spacing w:before="280" w:after="160"/>
      </w:pPr>
      <w:r>
        <w:rPr>
          <w:rFonts w:ascii="黑体" w:hAnsi="黑体" w:eastAsia="黑体"/>
          <w:b/>
          <w:sz w:val="26"/>
        </w:rPr>
        <w:t>2.2.2　框：以"错配-修复"框架赋予分析工具</w:t>
      </w:r>
    </w:p>
    <w:p>
      <w:pPr>
        <w:spacing w:before="0" w:after="40" w:line="360" w:lineRule="auto"/>
        <w:ind w:firstLine="420"/>
      </w:pPr>
      <w:r>
        <w:rPr>
          <w:rFonts w:ascii="Times New Roman" w:hAnsi="Times New Roman" w:eastAsia="宋体"/>
          <w:sz w:val="21"/>
        </w:rPr>
        <w:t>“框”为四维教学体系之理性跃迁环节，承接叙事维度之感性认知基础，核心教学目标为完成认知升级——引导学生自“被故事触动之感性认知”转向“用专业工具解析问题之理性思维”，实现自经验感知至结构化分析之层级跨越。</w:t>
      </w:r>
    </w:p>
    <w:p>
      <w:pPr>
        <w:spacing w:before="0" w:after="40" w:line="360" w:lineRule="auto"/>
        <w:ind w:firstLine="420"/>
      </w:pPr>
      <w:r>
        <w:rPr>
          <w:rFonts w:ascii="Times New Roman" w:hAnsi="Times New Roman" w:eastAsia="宋体"/>
          <w:sz w:val="21"/>
        </w:rPr>
        <w:t>激进建构主义理论为该维度提供核心支撑：von Glasersfeld所论知识之“可行性”（viable）——知识之有效性不在于其是否绝对客观，而在于其是否能适配学习者经验场景、具现实解释力与实践可行性</w:t>
      </w:r>
      <w:r>
        <w:rPr>
          <w:rFonts w:ascii="Times New Roman" w:hAnsi="Times New Roman"/>
          <w:sz w:val="15"/>
          <w:vertAlign w:val="superscript"/>
        </w:rPr>
        <w:t>[68]</w:t>
      </w:r>
      <w:r>
        <w:rPr>
          <w:rFonts w:ascii="Times New Roman" w:hAnsi="Times New Roman" w:eastAsia="宋体"/>
          <w:sz w:val="21"/>
        </w:rPr>
        <w:t>。落实至研究生课堂，框架教学之核心评价标准非教师讲授之清晰度，乃学生能否于案例分析中自主验证框架之工具价值与解释优势。教师单向“框架优势宣讲”无法替代学生亲身认知体验——教师可以告诉学生“这个框架很好用”，但此宣告与学生亲身经历“我用了它，确实比我自己分析得好”之体验，在认知深度上有质的差异。学生自主感知之“框架优于直觉分析”，方能形成更深层、更稳固之认知建构。</w:t>
      </w:r>
    </w:p>
    <w:p>
      <w:pPr>
        <w:spacing w:before="0" w:after="40" w:line="360" w:lineRule="auto"/>
        <w:ind w:firstLine="420"/>
      </w:pPr>
      <w:r>
        <w:rPr>
          <w:rFonts w:ascii="Times New Roman" w:hAnsi="Times New Roman" w:eastAsia="宋体"/>
          <w:sz w:val="21"/>
        </w:rPr>
        <w:t>本维度严格遵循建构主义“认知冲突→概念重构”之经典机制，形成标准化两步教学流程。第一步，认知冲突酝酿阶段：课堂初始不直接讲授框架，引导学生依托个人经验、直觉认知自主分析固废治理典型案例——此阶段学生分析结果普遍呈现模糊化、碎片化、主观化、难以量化沟通之特征，充分暴露直觉思维局限，形成内在认知冲突与工具需求</w:t>
      </w:r>
      <w:r>
        <w:rPr>
          <w:rFonts w:ascii="Times New Roman" w:hAnsi="Times New Roman"/>
          <w:sz w:val="15"/>
          <w:vertAlign w:val="superscript"/>
        </w:rPr>
        <w:t>[79]</w:t>
      </w:r>
      <w:r>
        <w:rPr>
          <w:rFonts w:ascii="Times New Roman" w:hAnsi="Times New Roman" w:eastAsia="宋体"/>
          <w:sz w:val="21"/>
        </w:rPr>
        <w:t>。第二步，认知重构升级阶段：教师正式呈现标准化“错配-修复”分析框架，指导学生以统一框架对同一案例进行二次复盘分析——学生通过前后分析逻辑、结论完整度、问题覆盖维度之直观对比，自主感知结构化框架之系统性优势，完成认知结构迭代重构。</w:t>
      </w:r>
    </w:p>
    <w:p>
      <w:pPr>
        <w:spacing w:before="0" w:after="40" w:line="360" w:lineRule="auto"/>
        <w:ind w:firstLine="420"/>
      </w:pPr>
      <w:r>
        <w:rPr>
          <w:rFonts w:ascii="Times New Roman" w:hAnsi="Times New Roman" w:eastAsia="宋体"/>
          <w:sz w:val="21"/>
        </w:rPr>
        <w:t>以第2周“选址正义性四维框架”教学为例：学生依托直觉研判填埋场选址问题时，判断依据多局限于“人口密度、城市距离”等朴素认知，仅覆盖地质承载、环境容量两个基础维度；在系统学习地质承载、环境容量、社会可接受、代际公平四维框架后，学生清晰发现自身直觉分析之核心盲区——完全忽略社会适配、代际公平等关键约束维度。较之教师单向灌输“需兼顾社会因素”，学生自主发现之认知盲区具更强警示性——此“被自身直觉所暴露之忽略”，远较教师直接告知“要注意社会因素”更有教学效力。</w:t>
      </w:r>
    </w:p>
    <w:p>
      <w:pPr>
        <w:spacing w:before="0" w:after="40" w:line="360" w:lineRule="auto"/>
        <w:ind w:firstLine="420"/>
      </w:pPr>
      <w:r>
        <w:rPr>
          <w:rFonts w:ascii="Times New Roman" w:hAnsi="Times New Roman" w:eastAsia="宋体"/>
          <w:sz w:val="21"/>
        </w:rPr>
        <w:t>该设计彻底重构课堂知识属性——将框架自“教师单向传递之识记知识”转化为“学生自主建构之思维工具”。学生完整经历“直觉分析受挫→产生工具需求→框架介入赋能→认知结构重组”之闭环心理过程，彻底打破“教师讲解→学生被动记忆”之单向信息传递模式，实现建构主义理论“框架为思维工具而非记忆对象”核心定位之具象化落地。</w:t>
      </w:r>
    </w:p>
    <w:p>
      <w:pPr>
        <w:spacing w:before="280" w:after="160"/>
      </w:pPr>
      <w:r>
        <w:rPr>
          <w:rFonts w:ascii="黑体" w:hAnsi="黑体" w:eastAsia="黑体"/>
          <w:b/>
          <w:sz w:val="26"/>
        </w:rPr>
        <w:t>2.2.3　境：以场景模拟淬炼应用能力的沉浸式设计</w:t>
      </w:r>
    </w:p>
    <w:p>
      <w:pPr>
        <w:spacing w:before="0" w:after="40" w:line="360" w:lineRule="auto"/>
        <w:ind w:firstLine="420"/>
      </w:pPr>
      <w:r>
        <w:rPr>
          <w:rFonts w:ascii="Times New Roman" w:hAnsi="Times New Roman" w:eastAsia="宋体"/>
          <w:sz w:val="21"/>
        </w:rPr>
        <w:t>“境”为四维教学体系之能力淬炼环节，承接前两维度之认知激活与工具习得，核心教学目标为检验、打磨、升华学生之框架应用能力——实现自“课堂会用”至“场景善用”之能力跃迁，破解理论学习与工程实践脱节之核心痛点。</w:t>
      </w:r>
    </w:p>
    <w:p>
      <w:pPr>
        <w:spacing w:before="0" w:after="40" w:line="360" w:lineRule="auto"/>
        <w:ind w:firstLine="420"/>
      </w:pPr>
      <w:r>
        <w:rPr>
          <w:rFonts w:ascii="Times New Roman" w:hAnsi="Times New Roman" w:eastAsia="宋体"/>
          <w:sz w:val="21"/>
        </w:rPr>
        <w:t>情境学习理论明确指出：专业能力之高阶养成非完成知识习得即告达成，须依托真实、复杂、高压之实践场景反复淬炼方成</w:t>
      </w:r>
      <w:r>
        <w:rPr>
          <w:rFonts w:ascii="Times New Roman" w:hAnsi="Times New Roman"/>
          <w:sz w:val="15"/>
          <w:vertAlign w:val="superscript"/>
        </w:rPr>
        <w:t>[73]</w:t>
      </w:r>
      <w:r>
        <w:rPr>
          <w:rFonts w:ascii="Times New Roman" w:hAnsi="Times New Roman" w:eastAsia="宋体"/>
          <w:sz w:val="21"/>
        </w:rPr>
        <w:t>。常规课堂练习与工程场景实战存本质性认知差异——前者环境安静、压力低、信息完备，仅检验基础套用能力；后者信息残缺、多方博弈、时间紧迫，检验学生在认知压力下之即时研判与精准决策能力，此乃框架实用性、思维严谨性之核心试金石。</w:t>
      </w:r>
    </w:p>
    <w:p>
      <w:pPr>
        <w:spacing w:before="0" w:after="40" w:line="360" w:lineRule="auto"/>
        <w:ind w:firstLine="420"/>
      </w:pPr>
      <w:r>
        <w:rPr>
          <w:rFonts w:ascii="Times New Roman" w:hAnsi="Times New Roman" w:eastAsia="宋体"/>
          <w:sz w:val="21"/>
        </w:rPr>
        <w:t>基于固废治理工程全流程典型场景，本课程构建六类标准化沉浸式仿真场景：</w:t>
      </w:r>
    </w:p>
    <w:p>
      <w:pPr>
        <w:spacing w:before="40" w:after="40" w:line="360" w:lineRule="auto"/>
      </w:pPr>
      <w:r>
        <w:rPr>
          <w:rFonts w:ascii="Times New Roman" w:hAnsi="Times New Roman" w:eastAsia="宋体"/>
          <w:sz w:val="21"/>
        </w:rPr>
        <w:t>| 场景 | 周次 | 核心决策 | 压力来源 |</w:t>
      </w:r>
    </w:p>
    <w:p>
      <w:pPr>
        <w:spacing w:before="40" w:after="40" w:line="360" w:lineRule="auto"/>
      </w:pPr>
      <w:r>
        <w:rPr>
          <w:rFonts w:ascii="Times New Roman" w:hAnsi="Times New Roman" w:eastAsia="宋体"/>
          <w:sz w:val="21"/>
        </w:rPr>
        <w:t>| 公众听证会 | 第1-2周 | 填埋场选址合规性与民生适配论证 | 居民质疑、媒体监督、限时应答 |</w:t>
      </w:r>
    </w:p>
    <w:p>
      <w:pPr>
        <w:spacing w:before="40" w:after="40" w:line="360" w:lineRule="auto"/>
      </w:pPr>
      <w:r>
        <w:rPr>
          <w:rFonts w:ascii="Times New Roman" w:hAnsi="Times New Roman" w:eastAsia="宋体"/>
          <w:sz w:val="21"/>
        </w:rPr>
        <w:t>| 技术论证会 | 第3周 | 焚烧/堆肥工艺方案比选 | 专家质询、数据对立、成本约束 |</w:t>
      </w:r>
    </w:p>
    <w:p>
      <w:pPr>
        <w:spacing w:before="40" w:after="40" w:line="360" w:lineRule="auto"/>
      </w:pPr>
      <w:r>
        <w:rPr>
          <w:rFonts w:ascii="Times New Roman" w:hAnsi="Times New Roman" w:eastAsia="宋体"/>
          <w:sz w:val="21"/>
        </w:rPr>
        <w:t>| 运营危机应对 | 第5周 | 分类收集系统突发故障处置 | 时效紧迫、信息不全、多方责任博弈 |</w:t>
      </w:r>
    </w:p>
    <w:p>
      <w:pPr>
        <w:spacing w:before="40" w:after="40" w:line="360" w:lineRule="auto"/>
      </w:pPr>
      <w:r>
        <w:rPr>
          <w:rFonts w:ascii="Times New Roman" w:hAnsi="Times New Roman" w:eastAsia="宋体"/>
          <w:sz w:val="21"/>
        </w:rPr>
        <w:t>| 模拟法庭 | 第7周 | 固废侵权责任界定与司法研判 | 对抗性辩论、证据链校验、法理与价值平衡 |</w:t>
      </w:r>
    </w:p>
    <w:p>
      <w:pPr>
        <w:spacing w:before="40" w:after="40" w:line="360" w:lineRule="auto"/>
      </w:pPr>
      <w:r>
        <w:rPr>
          <w:rFonts w:ascii="Times New Roman" w:hAnsi="Times New Roman" w:eastAsia="宋体"/>
          <w:sz w:val="21"/>
        </w:rPr>
        <w:t>| 项目尽调 | 第7周 | 固废企业并购全方位尽职调查 | 技术、财务、环境多维度交叉验证 |</w:t>
      </w:r>
    </w:p>
    <w:p>
      <w:pPr>
        <w:spacing w:before="40" w:after="40" w:line="360" w:lineRule="auto"/>
      </w:pPr>
      <w:r>
        <w:rPr>
          <w:rFonts w:ascii="Times New Roman" w:hAnsi="Times New Roman" w:eastAsia="宋体"/>
          <w:sz w:val="21"/>
        </w:rPr>
        <w:t>| 碳交易谈判 | 第6周 | 填埋气碳减排量交易磋商 | 信息不对称、价格博弈、长期风险预判 |</w:t>
      </w:r>
    </w:p>
    <w:p>
      <w:pPr>
        <w:spacing w:before="0" w:after="40" w:line="360" w:lineRule="auto"/>
        <w:ind w:firstLine="420"/>
      </w:pPr>
      <w:r>
        <w:rPr>
          <w:rFonts w:ascii="Times New Roman" w:hAnsi="Times New Roman" w:eastAsia="宋体"/>
          <w:sz w:val="21"/>
        </w:rPr>
        <w:t>各场景均配套标准化教学素材包，含角色身份卡（明确各参与主体之利益立场、认知偏好、信息壁垒与核心诉求）、随机突发事件卡（打破预设分析脚本，锤炼学生临场应变能力）、教师指导手册（明确研讨要点、评价标准与引导逻辑），保障场景教学标准化落地。</w:t>
      </w:r>
    </w:p>
    <w:p>
      <w:pPr>
        <w:spacing w:before="0" w:after="40" w:line="360" w:lineRule="auto"/>
        <w:ind w:firstLine="420"/>
      </w:pPr>
      <w:r>
        <w:rPr>
          <w:rFonts w:ascii="Times New Roman" w:hAnsi="Times New Roman" w:eastAsia="宋体"/>
          <w:sz w:val="21"/>
        </w:rPr>
        <w:t>此场景化设计为Lave与Wenger“合法边缘参与”情境学习理论之现代工程教育版转化——学生以准职业工程师身份，“部分地”参与工程决策场景，在沉浸式角色扮演、多方博弈、问题处置之过程中，逐步完成自“课堂理论分析者”至“工程实践决策者”之认知身份跃迁。</w:t>
      </w:r>
    </w:p>
    <w:p>
      <w:pPr>
        <w:spacing w:before="280" w:after="160"/>
      </w:pPr>
      <w:r>
        <w:rPr>
          <w:rFonts w:ascii="黑体" w:hAnsi="黑体" w:eastAsia="黑体"/>
          <w:b/>
          <w:sz w:val="26"/>
        </w:rPr>
        <w:t>2.2.4　创：以三轨综合产出实现创造致用</w:t>
      </w:r>
    </w:p>
    <w:p>
      <w:pPr>
        <w:spacing w:before="0" w:after="40" w:line="360" w:lineRule="auto"/>
        <w:ind w:firstLine="420"/>
      </w:pPr>
      <w:r>
        <w:rPr>
          <w:rFonts w:ascii="Times New Roman" w:hAnsi="Times New Roman" w:eastAsia="宋体"/>
          <w:sz w:val="21"/>
        </w:rPr>
        <w:t>“创”为四维教学体系之闭环产出环节，系全教学流程最终落点。核心教学设计旨在破解传统课程“学习终结于评分、成果终结于课堂”之短板——构建可沉淀、可复用、可迭代之长效果实，令八周课程习得之知识、思维与研判能力转化为具长期价值之实体化产出，彻底打通学习闭环。</w:t>
      </w:r>
    </w:p>
    <w:p>
      <w:pPr>
        <w:spacing w:before="0" w:after="40" w:line="360" w:lineRule="auto"/>
        <w:ind w:firstLine="420"/>
      </w:pPr>
      <w:r>
        <w:rPr>
          <w:rFonts w:ascii="Times New Roman" w:hAnsi="Times New Roman" w:eastAsia="宋体"/>
          <w:sz w:val="21"/>
        </w:rPr>
        <w:t>成果导向教育（OBE）“终点逆向设计”原则为本维度提供核心设计依据——所有教学活动以学生终极能力产出为导向，反向统筹课程内容</w:t>
      </w:r>
      <w:r>
        <w:rPr>
          <w:rFonts w:ascii="Times New Roman" w:hAnsi="Times New Roman"/>
          <w:sz w:val="15"/>
          <w:vertAlign w:val="superscript"/>
        </w:rPr>
        <w:t>[76]</w:t>
      </w:r>
      <w:r>
        <w:rPr>
          <w:rFonts w:ascii="Times New Roman" w:hAnsi="Times New Roman" w:eastAsia="宋体"/>
          <w:sz w:val="21"/>
        </w:rPr>
        <w:t>。基于学术深造、工程实践、教学研究三类发展路径，本课程构建三轨制结课产出体系：</w:t>
      </w:r>
    </w:p>
    <w:p>
      <w:pPr>
        <w:spacing w:before="160" w:after="40"/>
      </w:pPr>
      <w:r>
        <w:rPr>
          <w:rFonts w:ascii="Times New Roman" w:hAnsi="Times New Roman" w:eastAsia="宋体"/>
          <w:b/>
          <w:sz w:val="21"/>
        </w:rPr>
        <w:t>A轨（学术研究型）</w:t>
      </w:r>
    </w:p>
    <w:p>
      <w:pPr>
        <w:spacing w:before="0" w:after="40" w:line="360" w:lineRule="auto"/>
        <w:ind w:firstLine="420"/>
      </w:pPr>
      <w:r>
        <w:rPr>
          <w:rFonts w:ascii="Times New Roman" w:hAnsi="Times New Roman" w:eastAsia="宋体"/>
          <w:sz w:val="21"/>
        </w:rPr>
        <w:t>学生依托五维统一诊断矩阵，自选固废治理问题撰写8000字规范学术论文。区别于常规课程作业，本产出要求学生于运用既有框架分析之基础上，重点完成框架反思性创新——自主研判现有五维体系之局限性，探究未被覆盖之“第六维”分析视角</w:t>
      </w:r>
      <w:r>
        <w:rPr>
          <w:rFonts w:ascii="Times New Roman" w:hAnsi="Times New Roman"/>
          <w:sz w:val="15"/>
          <w:vertAlign w:val="superscript"/>
        </w:rPr>
        <w:t>[80]</w:t>
      </w:r>
      <w:r>
        <w:rPr>
          <w:rFonts w:ascii="Times New Roman" w:hAnsi="Times New Roman" w:eastAsia="宋体"/>
          <w:sz w:val="21"/>
        </w:rPr>
        <w:t>。此设计引导学生跳出机械套用层面，开展批判性思考与学术创新，令课程论文成为个人科研思维训练与后续学术研究之基础底稿。</w:t>
      </w:r>
    </w:p>
    <w:p>
      <w:pPr>
        <w:spacing w:before="160" w:after="40"/>
      </w:pPr>
      <w:r>
        <w:rPr>
          <w:rFonts w:ascii="Times New Roman" w:hAnsi="Times New Roman" w:eastAsia="宋体"/>
          <w:b/>
          <w:sz w:val="21"/>
        </w:rPr>
        <w:t>B轨（工程实践型）</w:t>
      </w:r>
    </w:p>
    <w:p>
      <w:pPr>
        <w:spacing w:before="0" w:after="40" w:line="360" w:lineRule="auto"/>
        <w:ind w:firstLine="420"/>
      </w:pPr>
      <w:r>
        <w:rPr>
          <w:rFonts w:ascii="Times New Roman" w:hAnsi="Times New Roman" w:eastAsia="宋体"/>
          <w:sz w:val="21"/>
        </w:rPr>
        <w:t>学生自固废填埋、焚烧、堆肥三类主流处理工艺中择一，完成完整标准化工程工艺设计方案。方案严格依托空间、技术、行为、人文、时间五维框架开展系统性论证，明确工艺选型之适配性、合理性与可行性，同步配套工程经济概算。产出成果对标行业工程档案规范，具真实工程场景之可复用价值。</w:t>
      </w:r>
    </w:p>
    <w:p>
      <w:pPr>
        <w:spacing w:before="160" w:after="40"/>
      </w:pPr>
      <w:r>
        <w:rPr>
          <w:rFonts w:ascii="Times New Roman" w:hAnsi="Times New Roman" w:eastAsia="宋体"/>
          <w:b/>
          <w:sz w:val="21"/>
        </w:rPr>
        <w:t>C轨（教学教改型）</w:t>
      </w:r>
    </w:p>
    <w:p>
      <w:pPr>
        <w:spacing w:before="0" w:after="40" w:line="360" w:lineRule="auto"/>
        <w:ind w:firstLine="420"/>
      </w:pPr>
      <w:r>
        <w:rPr>
          <w:rFonts w:ascii="Times New Roman" w:hAnsi="Times New Roman" w:eastAsia="宋体"/>
          <w:sz w:val="21"/>
        </w:rPr>
        <w:t>学生以“学习者+课程共建者”双重身份撰写教学反思报告，结合八周课堂学习体验，针对四维教学法之内容设置、场景设计、考核模式、课堂组织等维度，提出具体、可落地之教改建议。产出成果直接服务于课程迭代升级，实现教学相长。</w:t>
      </w:r>
    </w:p>
    <w:p>
      <w:pPr>
        <w:spacing w:before="0" w:after="40" w:line="360" w:lineRule="auto"/>
        <w:ind w:firstLine="420"/>
      </w:pPr>
      <w:r>
        <w:rPr>
          <w:rFonts w:ascii="Times New Roman" w:hAnsi="Times New Roman" w:eastAsia="宋体"/>
          <w:sz w:val="21"/>
        </w:rPr>
        <w:t>三轨制产出体系全面覆盖学生未来职业发展路径——无论深耕学术、投身工程或从事教育，课程所学均可转化为专属积累性成果。“创以致用”之核心内涵在于：课程创造非学习之终点，乃学生知识再生产、能力迭代、职业成长之全新起点。</w:t>
      </w:r>
    </w:p>
    <w:p>
      <w:pPr>
        <w:spacing w:before="280" w:after="160"/>
      </w:pPr>
      <w:r>
        <w:rPr>
          <w:rFonts w:ascii="黑体" w:hAnsi="黑体" w:eastAsia="黑体"/>
          <w:b/>
          <w:sz w:val="26"/>
        </w:rPr>
        <w:t>2.2.5　四维递进的内在逻辑：从认知激活到知识再生产</w:t>
      </w:r>
    </w:p>
    <w:p>
      <w:pPr>
        <w:spacing w:before="0" w:after="40" w:line="360" w:lineRule="auto"/>
        <w:ind w:firstLine="420"/>
      </w:pPr>
      <w:r>
        <w:rPr>
          <w:rFonts w:ascii="Times New Roman" w:hAnsi="Times New Roman" w:eastAsia="宋体"/>
          <w:sz w:val="21"/>
        </w:rPr>
        <w:t>“叙·框·境·创”四维非简单时间顺序排布，乃契合布鲁姆认知分类体系、认知深度逐级攀升、首尾闭环联动之系统化认知加工链条，各维度精准对应不同认知层级</w:t>
      </w:r>
      <w:r>
        <w:rPr>
          <w:rFonts w:ascii="Times New Roman" w:hAnsi="Times New Roman"/>
          <w:sz w:val="15"/>
          <w:vertAlign w:val="superscript"/>
        </w:rPr>
        <w:t>[71]</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第一维度“叙”对应注意、感知、记忆之基础认知层——依托纪实叙事素材搭建认知锚点，激活情感共鸣与内生动机，完成陌生理论之初步认知入场。第二维度“框”对应理解、应用之中级认知层——将碎片化感性经验提炼升华为标准化、结构化分析工具，推动学生自被动感知转向主动结构化思维。第三维度“境”对应应用、分析之中高阶认知层——于高压复杂仿真场景中检验、打磨、优化框架应用能力，破除课堂理想化学习之局限，实现自“会用工具”至“活用工具解析复杂问题”之升级。第四维度“创”对应评价、创造之顶级认知层——整合全周期认知积累、工具能力与场景经验，通过批判反思、创新重构、实体化产出，完成“外部知识输入→个人认知内化→自主成果输出”之完整知识再生产闭环。</w:t>
      </w:r>
    </w:p>
    <w:p>
      <w:pPr>
        <w:spacing w:before="0" w:after="40" w:line="360" w:lineRule="auto"/>
        <w:ind w:firstLine="420"/>
      </w:pPr>
      <w:r>
        <w:rPr>
          <w:rFonts w:ascii="Times New Roman" w:hAnsi="Times New Roman" w:eastAsia="宋体"/>
          <w:sz w:val="21"/>
        </w:rPr>
        <w:t>四维递进体系从根本上弥补传统工科课堂之育人短板。传统讲授式教学仅完成“叙事导入+理论讲授”之浅层认知任务，教学至此终止——高阶场景淬炼与创新产出被后置至考试或职业阶段，致课堂育人链条断裂。本四维教学法将基础认知激活、思维工具建构、场景能力淬炼、高阶知识创造全路径纳入课程体系内部，令单一课程成为培育工科研究生完整认知能力、创新能力与实践能力之微型成长实验室。</w:t>
      </w:r>
    </w:p>
    <w:p>
      <w:pPr>
        <w:spacing w:before="0" w:after="40" w:line="360" w:lineRule="auto"/>
        <w:ind w:firstLine="420"/>
      </w:pPr>
      <w:r>
        <w:rPr>
          <w:rFonts w:ascii="Times New Roman" w:hAnsi="Times New Roman" w:eastAsia="宋体"/>
          <w:sz w:val="21"/>
        </w:rPr>
        <w:t>基于上述完整学理推导，为进一步凸显本教学法之创新性与独特性，厘清与现有主流教学范式之边界差异，下一节将系统对比分析四维教学法与案例教学法、问题导向学习（PBL）、翻转课堂之核心异同，明确本方法之专属方法论贡献与育人优势。</w:t>
      </w:r>
    </w:p>
    <w:p>
      <w:pPr>
        <w:spacing w:before="360" w:after="200"/>
      </w:pPr>
      <w:r>
        <w:rPr>
          <w:rFonts w:ascii="黑体" w:hAnsi="黑体" w:eastAsia="黑体"/>
          <w:b/>
          <w:sz w:val="30"/>
        </w:rPr>
        <w:t>2.3　与已有教学法的比较分析</w:t>
      </w:r>
    </w:p>
    <w:p>
      <w:pPr>
        <w:spacing w:before="0" w:after="40" w:line="360" w:lineRule="auto"/>
        <w:ind w:firstLine="420"/>
      </w:pPr>
      <w:r>
        <w:rPr>
          <w:rFonts w:ascii="Times New Roman" w:hAnsi="Times New Roman" w:eastAsia="宋体"/>
          <w:sz w:val="21"/>
        </w:rPr>
        <w:t>“叙·框·境·创”四维教学法非凭空而出，亦非对已有教学范式之否定。其诞生于对工科研究生课堂具体困境之回应，然回应之路径与既有方法存可辨识之差异。本节择三种与四维教学法最具可比性之既有方法——案例教学法（Case Method）、问题导向学习（Problem-Based Learning, PBL）、翻转课堂（Flipped Classroom）——逐一辨析异同，以厘清四维教学法在何种意义上构成独特之方法论贡献。</w:t>
      </w:r>
    </w:p>
    <w:p>
      <w:pPr>
        <w:spacing w:before="280" w:after="160"/>
      </w:pPr>
      <w:r>
        <w:rPr>
          <w:rFonts w:ascii="黑体" w:hAnsi="黑体" w:eastAsia="黑体"/>
          <w:b/>
          <w:sz w:val="26"/>
        </w:rPr>
        <w:t>2.3.1　与案例教学法的异同</w:t>
      </w:r>
    </w:p>
    <w:p>
      <w:pPr>
        <w:spacing w:before="0" w:after="40" w:line="360" w:lineRule="auto"/>
        <w:ind w:firstLine="420"/>
      </w:pPr>
      <w:r>
        <w:rPr>
          <w:rFonts w:ascii="Times New Roman" w:hAnsi="Times New Roman" w:eastAsia="宋体"/>
          <w:sz w:val="21"/>
        </w:rPr>
        <w:t>案例教学法发端于哈佛法学院（1870年）与哈佛商学院（1921年），其核心操作可概括为：教师课前分发案例材料，学生独立预读与初步分析；课堂时间以苏格拉底式追问为主导，教师逐层追问“为何如此”“若条件改变则如何”“尚存何种解释”——教师非知识传递者，乃讨论催化者。案例教学法与四维教学法之“叙”维度有一重要共享特征：两者均以“具体情境”为教学起点，反对抽象概念先行。</w:t>
      </w:r>
    </w:p>
    <w:p>
      <w:pPr>
        <w:spacing w:before="0" w:after="40" w:line="360" w:lineRule="auto"/>
        <w:ind w:firstLine="420"/>
      </w:pPr>
      <w:r>
        <w:rPr>
          <w:rFonts w:ascii="Times New Roman" w:hAnsi="Times New Roman" w:eastAsia="宋体"/>
          <w:sz w:val="21"/>
        </w:rPr>
        <w:t>然两者存三点根本差异。</w:t>
      </w:r>
    </w:p>
    <w:p>
      <w:pPr>
        <w:spacing w:before="160" w:after="40"/>
      </w:pPr>
      <w:r>
        <w:rPr>
          <w:rFonts w:ascii="Times New Roman" w:hAnsi="Times New Roman" w:eastAsia="宋体"/>
          <w:b/>
          <w:sz w:val="21"/>
        </w:rPr>
        <w:t>其一，情境来源不同</w:t>
      </w:r>
    </w:p>
    <w:p>
      <w:pPr>
        <w:spacing w:before="0" w:after="40" w:line="360" w:lineRule="auto"/>
        <w:ind w:firstLine="420"/>
      </w:pPr>
      <w:r>
        <w:rPr>
          <w:rFonts w:ascii="Times New Roman" w:hAnsi="Times New Roman" w:eastAsia="宋体"/>
          <w:sz w:val="21"/>
        </w:rPr>
        <w:t>案例教学法之案例多为教学专业人员撰写之“二手文本”——即便基于真实事件，亦已经过高度结构化处理与教学适配。四维教学法之叙事素材源出著者已在网络小说平台发布之纪实小说——S001-S021选段直接截取自已在网络小说平台发布之文学作品，其情境未经“为教学而改写”之处理，保留真实事件之多元冲突与情感张力。</w:t>
      </w:r>
    </w:p>
    <w:p>
      <w:pPr>
        <w:spacing w:before="160" w:after="40"/>
      </w:pPr>
      <w:r>
        <w:rPr>
          <w:rFonts w:ascii="Times New Roman" w:hAnsi="Times New Roman" w:eastAsia="宋体"/>
          <w:b/>
          <w:sz w:val="21"/>
        </w:rPr>
        <w:t>其二，情境功能不同</w:t>
      </w:r>
    </w:p>
    <w:p>
      <w:pPr>
        <w:spacing w:before="0" w:after="40" w:line="360" w:lineRule="auto"/>
        <w:ind w:firstLine="420"/>
      </w:pPr>
      <w:r>
        <w:rPr>
          <w:rFonts w:ascii="Times New Roman" w:hAnsi="Times New Roman" w:eastAsia="宋体"/>
          <w:sz w:val="21"/>
        </w:rPr>
        <w:t>案例教学法中，案例乃讨论之唯一对象——整个教学围绕“论证该案例中最优决策方案”展开。四维教学法中，叙事为分析框架之“前站”——学生读完《龙栖湾》后，教学重心迅捷自“讨论王老汉的一亩三分地”转至“理解与运用空间错配五维框架”，叙事从讨论对象变为分析工具之激活器。</w:t>
      </w:r>
    </w:p>
    <w:p>
      <w:pPr>
        <w:spacing w:before="160" w:after="40"/>
      </w:pPr>
      <w:r>
        <w:rPr>
          <w:rFonts w:ascii="Times New Roman" w:hAnsi="Times New Roman" w:eastAsia="宋体"/>
          <w:b/>
          <w:sz w:val="21"/>
        </w:rPr>
        <w:t>其三，框架角色不同</w:t>
      </w:r>
    </w:p>
    <w:p>
      <w:pPr>
        <w:spacing w:before="0" w:after="40" w:line="360" w:lineRule="auto"/>
        <w:ind w:firstLine="420"/>
      </w:pPr>
      <w:r>
        <w:rPr>
          <w:rFonts w:ascii="Times New Roman" w:hAnsi="Times New Roman" w:eastAsia="宋体"/>
          <w:sz w:val="21"/>
        </w:rPr>
        <w:t>案例教学法不预设分析框架——学生于讨论中自行组织逻辑，框架之有无取决于学生个人之归纳能力。四维教学法于叙事激活之后，给出标准化分析框架（错配-修复体系），令学生得以用结构化工具完成分析——此乃对案例教学法“即兴之美”所带来之“不可复制性”与“深度不均衡”之回应。</w:t>
      </w:r>
    </w:p>
    <w:p>
      <w:pPr>
        <w:spacing w:before="0" w:after="40" w:line="360" w:lineRule="auto"/>
        <w:ind w:firstLine="420"/>
      </w:pPr>
      <w:r>
        <w:rPr>
          <w:rFonts w:ascii="Times New Roman" w:hAnsi="Times New Roman" w:eastAsia="宋体"/>
          <w:sz w:val="21"/>
        </w:rPr>
        <w:t>综上，四维教学法可视作“有框架之案例教学”——保留情境起点之认知优势（与案例教学法共享），补足框架工具之标准化支撑（建构主义贡献），并通过场景淬炼（情境学习贡献）与创造产出（OBE贡献）将案例教学法仅停留于课堂讨论之学习闭环，延伸至真实能力之检验与可积累成果之创造。</w:t>
      </w:r>
    </w:p>
    <w:p>
      <w:pPr>
        <w:spacing w:before="280" w:after="160"/>
      </w:pPr>
      <w:r>
        <w:rPr>
          <w:rFonts w:ascii="黑体" w:hAnsi="黑体" w:eastAsia="黑体"/>
          <w:b/>
          <w:sz w:val="26"/>
        </w:rPr>
        <w:t>2.3.2　与PBL（问题导向学习）的异同</w:t>
      </w:r>
    </w:p>
    <w:p>
      <w:pPr>
        <w:spacing w:before="0" w:after="40" w:line="360" w:lineRule="auto"/>
        <w:ind w:firstLine="420"/>
      </w:pPr>
      <w:r>
        <w:rPr>
          <w:rFonts w:ascii="Times New Roman" w:hAnsi="Times New Roman" w:eastAsia="宋体"/>
          <w:sz w:val="21"/>
        </w:rPr>
        <w:t>问题导向学习（PBL）于1960年代发源麦克马斯特大学医学院，其核心原则为：以真实问题为学习起点，学生于小组协作中通过“自主学习→信息分享→方案整合→反思评估”之循环完成知识建构。PBL与四维教学法之“框”维度有一关键共享特征：两者均反对“先教理论再举例”之演绎逻辑，主张学生于接触理论之前先遭遇问题，于“问题驱动”之需要中生成学习动机。</w:t>
      </w:r>
    </w:p>
    <w:p>
      <w:pPr>
        <w:spacing w:before="0" w:after="40" w:line="360" w:lineRule="auto"/>
        <w:ind w:firstLine="420"/>
      </w:pPr>
      <w:r>
        <w:rPr>
          <w:rFonts w:ascii="Times New Roman" w:hAnsi="Times New Roman" w:eastAsia="宋体"/>
          <w:sz w:val="21"/>
        </w:rPr>
        <w:t>然两者差异聚集于两维度。</w:t>
      </w:r>
    </w:p>
    <w:p>
      <w:pPr>
        <w:spacing w:before="160" w:after="40"/>
      </w:pPr>
      <w:r>
        <w:rPr>
          <w:rFonts w:ascii="Times New Roman" w:hAnsi="Times New Roman" w:eastAsia="宋体"/>
          <w:b/>
          <w:sz w:val="21"/>
        </w:rPr>
        <w:t>其一，问题定义方式不同</w:t>
      </w:r>
    </w:p>
    <w:p>
      <w:pPr>
        <w:spacing w:before="0" w:after="40" w:line="360" w:lineRule="auto"/>
        <w:ind w:firstLine="420"/>
      </w:pPr>
      <w:r>
        <w:rPr>
          <w:rFonts w:ascii="Times New Roman" w:hAnsi="Times New Roman" w:eastAsia="宋体"/>
          <w:sz w:val="21"/>
        </w:rPr>
        <w:t>PBL之“问题”多为教师设计之“结构性开放问题”——具开放性（无唯一标准答案），然其问题边界为教师事先框定。例如一典型PBL固废问题设计为：“某市拟建日处理600吨之焚烧厂，请分析其技术可行性、经济可行性与社会可接受性。”此问题已将分析维度“给出”（技术/经济/社会）。四维教学法之“框”维度则不相同：教师不给问题框架——学生先用直觉分析同一案例，发现自身分析之片段与盲区后，教师方呈现框架。PBL为“有问题，请分析”；四维教学法为“有情境，你先分析，然后对照框架看清你漏了什么”——后者多一层“认知冲突→概念重构”之元认知体验。</w:t>
      </w:r>
    </w:p>
    <w:p>
      <w:pPr>
        <w:spacing w:before="160" w:after="40"/>
      </w:pPr>
      <w:r>
        <w:rPr>
          <w:rFonts w:ascii="Times New Roman" w:hAnsi="Times New Roman" w:eastAsia="宋体"/>
          <w:b/>
          <w:sz w:val="21"/>
        </w:rPr>
        <w:t>其二，教学终点不同</w:t>
      </w:r>
    </w:p>
    <w:p>
      <w:pPr>
        <w:spacing w:before="0" w:after="40" w:line="360" w:lineRule="auto"/>
        <w:ind w:firstLine="420"/>
      </w:pPr>
      <w:r>
        <w:rPr>
          <w:rFonts w:ascii="Times New Roman" w:hAnsi="Times New Roman" w:eastAsia="宋体"/>
          <w:sz w:val="21"/>
        </w:rPr>
        <w:t>PBL以“问题被解决”（或“方案被提出”）为教学终点——学生提交方案、完成展示、获得评估，教学闭环即告结束。此终结模式与传统课程“提交→评分→结束”并无本质区别。四维教学法以“创”维度之三轨制产出为教学终点——学生之产出不因“被评分”而终止有效期，其价值延续至课程之外。此差异根源在OBE“终点逆向设计”原则——PBL以“问题”为起点、以“方案”为终点；四维教学法以“成果”为起点（反向设计）、以“可积累产出”为终点。</w:t>
      </w:r>
    </w:p>
    <w:p>
      <w:pPr>
        <w:spacing w:before="0" w:after="40" w:line="360" w:lineRule="auto"/>
        <w:ind w:firstLine="420"/>
      </w:pPr>
      <w:r>
        <w:rPr>
          <w:rFonts w:ascii="Times New Roman" w:hAnsi="Times New Roman" w:eastAsia="宋体"/>
          <w:sz w:val="21"/>
        </w:rPr>
        <w:t>综上，四维教学法可视作“有框架淬炼且有长期产出之PBL”——保留问题驱动之认知优势，补足元认知层面之“认知冲突”环节，并将教学终点自“方案提交”延伸至“可积累成果之创造”。</w:t>
      </w:r>
    </w:p>
    <w:p>
      <w:pPr>
        <w:spacing w:before="280" w:after="160"/>
      </w:pPr>
      <w:r>
        <w:rPr>
          <w:rFonts w:ascii="黑体" w:hAnsi="黑体" w:eastAsia="黑体"/>
          <w:b/>
          <w:sz w:val="26"/>
        </w:rPr>
        <w:t>2.3.3　与翻转课堂的异同</w:t>
      </w:r>
    </w:p>
    <w:p>
      <w:pPr>
        <w:spacing w:before="0" w:after="40" w:line="360" w:lineRule="auto"/>
        <w:ind w:firstLine="420"/>
      </w:pPr>
      <w:r>
        <w:rPr>
          <w:rFonts w:ascii="Times New Roman" w:hAnsi="Times New Roman" w:eastAsia="宋体"/>
          <w:sz w:val="21"/>
        </w:rPr>
        <w:t>翻转课堂核心理念为：将传统“课堂讲授→课后作业”之教学时序反转——学生课前通过教师预录视频或阅读材料完成知识学习（低阶认知），课堂时间则用于讨论、练习与答疑（高阶认知）。“翻转”之要义在重新分配认知层级：识记理解交还学生课下，应用分析创造保留于课堂互动之中。四维教学法之“叙”维度同样设课前阅读环节（纪实小说预读）——学生于课堂之前已获得叙事素材，此操作与翻转课堂有形式之似。</w:t>
      </w:r>
    </w:p>
    <w:p>
      <w:pPr>
        <w:spacing w:before="0" w:after="40" w:line="360" w:lineRule="auto"/>
        <w:ind w:firstLine="420"/>
      </w:pPr>
      <w:r>
        <w:rPr>
          <w:rFonts w:ascii="Times New Roman" w:hAnsi="Times New Roman" w:eastAsia="宋体"/>
          <w:sz w:val="21"/>
        </w:rPr>
        <w:t>然两者存根本性差异。</w:t>
      </w:r>
    </w:p>
    <w:p>
      <w:pPr>
        <w:spacing w:before="160" w:after="40"/>
      </w:pPr>
      <w:r>
        <w:rPr>
          <w:rFonts w:ascii="Times New Roman" w:hAnsi="Times New Roman" w:eastAsia="宋体"/>
          <w:b/>
          <w:sz w:val="21"/>
        </w:rPr>
        <w:t>其一，课前材料性质不同</w:t>
      </w:r>
    </w:p>
    <w:p>
      <w:pPr>
        <w:spacing w:before="0" w:after="40" w:line="360" w:lineRule="auto"/>
        <w:ind w:firstLine="420"/>
      </w:pPr>
      <w:r>
        <w:rPr>
          <w:rFonts w:ascii="Times New Roman" w:hAnsi="Times New Roman" w:eastAsia="宋体"/>
          <w:sz w:val="21"/>
        </w:rPr>
        <w:t>翻转课堂之课前材料为“教师讲解之替代品”——视频或教材章节功能在向学生“传递知识”。四维教学法课前之小说预读功能在“激活情感与生成追问”——非知识之传递，乃认知之“点火”。前者为高效之“信息前置”，后者为深层之“动机前置”。</w:t>
      </w:r>
    </w:p>
    <w:p>
      <w:pPr>
        <w:spacing w:before="160" w:after="40"/>
      </w:pPr>
      <w:r>
        <w:rPr>
          <w:rFonts w:ascii="Times New Roman" w:hAnsi="Times New Roman" w:eastAsia="宋体"/>
          <w:b/>
          <w:sz w:val="21"/>
        </w:rPr>
        <w:t>其二，课堂时间组织不同</w:t>
      </w:r>
    </w:p>
    <w:p>
      <w:pPr>
        <w:spacing w:before="0" w:after="40" w:line="360" w:lineRule="auto"/>
        <w:ind w:firstLine="420"/>
      </w:pPr>
      <w:r>
        <w:rPr>
          <w:rFonts w:ascii="Times New Roman" w:hAnsi="Times New Roman" w:eastAsia="宋体"/>
          <w:sz w:val="21"/>
        </w:rPr>
        <w:t>翻转课堂之课堂时间主用于“应用练习”——教师解答学生课前学习之疑问，组织讨论或解题。四维教学法之课堂时间则按“叙→框→境→创”四环节逐层推进——非一“先看视频、再来课堂讨论”之二元翻转，乃一四站递进之认知生产线。</w:t>
      </w:r>
    </w:p>
    <w:p>
      <w:pPr>
        <w:spacing w:before="160" w:after="40"/>
      </w:pPr>
      <w:r>
        <w:rPr>
          <w:rFonts w:ascii="Times New Roman" w:hAnsi="Times New Roman" w:eastAsia="宋体"/>
          <w:b/>
          <w:sz w:val="21"/>
        </w:rPr>
        <w:t>其三，“翻转”之维度不同</w:t>
      </w:r>
    </w:p>
    <w:p>
      <w:pPr>
        <w:spacing w:before="0" w:after="40" w:line="360" w:lineRule="auto"/>
        <w:ind w:firstLine="420"/>
      </w:pPr>
      <w:r>
        <w:rPr>
          <w:rFonts w:ascii="Times New Roman" w:hAnsi="Times New Roman" w:eastAsia="宋体"/>
          <w:sz w:val="21"/>
        </w:rPr>
        <w:t>翻转课堂翻转者为“教与学”之时间顺序——何时讲、何时练。四维教学法翻转者为“学生认知身份”——自被动接收者（叙）至主动建构者（框）至场景决策者（境）至知识创造者（创）。后者所翻转者非时序，乃学生之认知主体性。</w:t>
      </w:r>
    </w:p>
    <w:p>
      <w:pPr>
        <w:spacing w:before="0" w:after="40" w:line="360" w:lineRule="auto"/>
        <w:ind w:firstLine="420"/>
      </w:pPr>
      <w:r>
        <w:rPr>
          <w:rFonts w:ascii="Times New Roman" w:hAnsi="Times New Roman" w:eastAsia="宋体"/>
          <w:sz w:val="21"/>
        </w:rPr>
        <w:t>综上，四维教学法可视作“四重翻转”——叙事翻转（动机前置）、框架翻转（工具自主建构）、场景翻转（真实检验替代课堂练习）、产出翻转（可积累成果替代一次性评分）。翻转课堂仅完成第一重翻转（信息前置），四维教学法以三重递进翻转将认知路径自“浅层”贯穿至“深层”。</w:t>
      </w:r>
    </w:p>
    <w:p>
      <w:pPr>
        <w:spacing w:before="280" w:after="160"/>
      </w:pPr>
      <w:r>
        <w:rPr>
          <w:rFonts w:ascii="黑体" w:hAnsi="黑体" w:eastAsia="黑体"/>
          <w:b/>
          <w:sz w:val="26"/>
        </w:rPr>
        <w:t>2.3.4　四维教学法的独特贡献：叙事驱动×框架穿透×场景加速×创造闭环</w:t>
      </w:r>
    </w:p>
    <w:p>
      <w:pPr>
        <w:spacing w:before="0" w:after="40" w:line="360" w:lineRule="auto"/>
        <w:ind w:firstLine="420"/>
      </w:pPr>
      <w:r>
        <w:rPr>
          <w:rFonts w:ascii="Times New Roman" w:hAnsi="Times New Roman" w:eastAsia="宋体"/>
          <w:sz w:val="21"/>
        </w:rPr>
        <w:t>上述三项比较可浓缩为一矩阵：</w:t>
      </w:r>
    </w:p>
    <w:p>
      <w:pPr>
        <w:spacing w:before="40" w:after="40" w:line="360" w:lineRule="auto"/>
      </w:pPr>
      <w:r>
        <w:rPr>
          <w:rFonts w:ascii="Times New Roman" w:hAnsi="Times New Roman" w:eastAsia="宋体"/>
          <w:sz w:val="21"/>
        </w:rPr>
        <w:t>| 维度 | 案例教学法 | PBL | 翻转课堂 | **四维教学法** |</w:t>
      </w:r>
    </w:p>
    <w:p>
      <w:pPr>
        <w:spacing w:before="40" w:after="40" w:line="360" w:lineRule="auto"/>
      </w:pPr>
      <w:r>
        <w:rPr>
          <w:rFonts w:ascii="Times New Roman" w:hAnsi="Times New Roman" w:eastAsia="宋体"/>
          <w:sz w:val="21"/>
        </w:rPr>
        <w:t>| 认知起点 | 案例情境 | 开放问题 | 视频/教材 | **纪实叙事** |</w:t>
      </w:r>
    </w:p>
    <w:p>
      <w:pPr>
        <w:spacing w:before="40" w:after="40" w:line="360" w:lineRule="auto"/>
      </w:pPr>
      <w:r>
        <w:rPr>
          <w:rFonts w:ascii="Times New Roman" w:hAnsi="Times New Roman" w:eastAsia="宋体"/>
          <w:sz w:val="21"/>
        </w:rPr>
        <w:t>| 分析工具 | 学生自构 | 学生自构 | 教师讲授 | **标准化框架** |</w:t>
      </w:r>
    </w:p>
    <w:p>
      <w:pPr>
        <w:spacing w:before="40" w:after="40" w:line="360" w:lineRule="auto"/>
      </w:pPr>
      <w:r>
        <w:rPr>
          <w:rFonts w:ascii="Times New Roman" w:hAnsi="Times New Roman" w:eastAsia="宋体"/>
          <w:sz w:val="21"/>
        </w:rPr>
        <w:t>| 课堂组织 | 苏格拉底追问 | 小组协作探究 | 讨论+答疑 | **四维递进** |</w:t>
      </w:r>
    </w:p>
    <w:p>
      <w:pPr>
        <w:spacing w:before="40" w:after="40" w:line="360" w:lineRule="auto"/>
      </w:pPr>
      <w:r>
        <w:rPr>
          <w:rFonts w:ascii="Times New Roman" w:hAnsi="Times New Roman" w:eastAsia="宋体"/>
          <w:sz w:val="21"/>
        </w:rPr>
        <w:t>| 能力检验 | 课堂讨论质量 | 方案展示质量 | 练习质量 | **场景淬炼** |</w:t>
      </w:r>
    </w:p>
    <w:p>
      <w:pPr>
        <w:spacing w:before="40" w:after="40" w:line="360" w:lineRule="auto"/>
      </w:pPr>
      <w:r>
        <w:rPr>
          <w:rFonts w:ascii="Times New Roman" w:hAnsi="Times New Roman" w:eastAsia="宋体"/>
          <w:sz w:val="21"/>
        </w:rPr>
        <w:t>| 教学终点 | 课堂讨论结束 | 方案提交→评分 | 课堂练习结束 | **三轨长期产出** |</w:t>
      </w:r>
    </w:p>
    <w:p>
      <w:pPr>
        <w:spacing w:before="0" w:after="40" w:line="360" w:lineRule="auto"/>
        <w:ind w:firstLine="420"/>
      </w:pPr>
      <w:r>
        <w:rPr>
          <w:rFonts w:ascii="Times New Roman" w:hAnsi="Times New Roman" w:eastAsia="宋体"/>
          <w:sz w:val="21"/>
        </w:rPr>
        <w:t>四维教学法之独特贡献可提炼为四关键词：</w:t>
      </w:r>
    </w:p>
    <w:p>
      <w:pPr>
        <w:spacing w:before="0" w:after="40" w:line="360" w:lineRule="auto"/>
        <w:ind w:firstLine="420"/>
      </w:pPr>
      <w:r>
        <w:rPr>
          <w:rFonts w:ascii="Times New Roman" w:hAnsi="Times New Roman" w:eastAsia="宋体"/>
          <w:sz w:val="21"/>
        </w:rPr>
        <w:t>**叙事驱动**——以纪实文学素材为认知引擎，将学生自“要我学”转向“我要问”，此为已有教学法所未系统建构者。</w:t>
      </w:r>
    </w:p>
    <w:p>
      <w:pPr>
        <w:spacing w:before="0" w:after="40" w:line="360" w:lineRule="auto"/>
        <w:ind w:firstLine="420"/>
      </w:pPr>
      <w:r>
        <w:rPr>
          <w:rFonts w:ascii="Times New Roman" w:hAnsi="Times New Roman" w:eastAsia="宋体"/>
          <w:sz w:val="21"/>
        </w:rPr>
        <w:t>**框架穿透**——以错配-修复标准化框架补充案例教学法与PBL中“学生自构分析逻辑”之不确定性，以建构主义“认知冲突→概念重构”机制确保框架掌握深度，此为纯案例教学与PBL所不保证者。</w:t>
      </w:r>
    </w:p>
    <w:p>
      <w:pPr>
        <w:spacing w:before="0" w:after="40" w:line="360" w:lineRule="auto"/>
        <w:ind w:firstLine="420"/>
      </w:pPr>
      <w:r>
        <w:rPr>
          <w:rFonts w:ascii="Times New Roman" w:hAnsi="Times New Roman" w:eastAsia="宋体"/>
          <w:sz w:val="21"/>
        </w:rPr>
        <w:t>**场景加速**——以六类沉浸式仿真场景将“能力之课堂检验”升级为“能力之场景淬炼”，弥补翻转课堂与PBL之“低压力课堂练习”与“真实工程高压决策”间之鸿沟。</w:t>
      </w:r>
    </w:p>
    <w:p>
      <w:pPr>
        <w:spacing w:before="0" w:after="40" w:line="360" w:lineRule="auto"/>
        <w:ind w:firstLine="420"/>
      </w:pPr>
      <w:r>
        <w:rPr>
          <w:rFonts w:ascii="Times New Roman" w:hAnsi="Times New Roman" w:eastAsia="宋体"/>
          <w:sz w:val="21"/>
        </w:rPr>
        <w:t>**创造闭环**——以OBE终点逆向设计原则将教学终点自“被评分”延伸至“被复用”，破解所有既有教学法共同面临之“学习成果终结于分数”困境。</w:t>
      </w:r>
    </w:p>
    <w:p>
      <w:pPr>
        <w:spacing w:before="0" w:after="40" w:line="360" w:lineRule="auto"/>
        <w:ind w:firstLine="420"/>
      </w:pPr>
      <w:r>
        <w:rPr>
          <w:rFonts w:ascii="Times New Roman" w:hAnsi="Times New Roman" w:eastAsia="宋体"/>
          <w:sz w:val="21"/>
        </w:rPr>
        <w:t>四维教学法非对已有方法之替代——其每一维度均可在既有教育理论中找到根基（如2.1节所溯源），然其四维组合——叙→框→境→创之递进结构——构成一不可被分解还原为“案例教学+PBL+翻转课堂之拼接”之整体教学范式。此整体性正是四维教学法之核心方法论贡献所在。</w:t>
      </w:r>
    </w:p>
    <w:p>
      <w:pPr>
        <w:spacing w:before="0" w:after="40" w:line="360" w:lineRule="auto"/>
        <w:ind w:firstLine="420"/>
      </w:pPr>
      <w:r>
        <w:rPr>
          <w:rFonts w:ascii="Times New Roman" w:hAnsi="Times New Roman" w:eastAsia="宋体"/>
          <w:sz w:val="21"/>
        </w:rPr>
        <w:t>在完成理论基础（2.1）、学理推导（2.2）与比较分析（2.3）之后，第二章对“叙·框·境·创”四维教学法之理论建构已告完整。自第三章起，本书将转入分析框架之具体展开——以“错配-修复”体系为核心，逐一阐述五维错配诊断与修复之教学设计。</w:t>
      </w:r>
    </w:p>
    <w:p>
      <w:pPr>
        <w:spacing w:before="360" w:after="200"/>
      </w:pPr>
      <w:r>
        <w:rPr>
          <w:rFonts w:ascii="黑体" w:hAnsi="黑体" w:eastAsia="黑体"/>
          <w:b/>
          <w:sz w:val="30"/>
        </w:rPr>
        <w:t>参考文献</w:t>
      </w:r>
    </w:p>
    <w:p>
      <w:pPr>
        <w:spacing w:before="20" w:after="20"/>
        <w:ind w:hanging="420" w:left="420"/>
      </w:pPr>
      <w:r>
        <w:rPr>
          <w:rFonts w:ascii="Times New Roman" w:hAnsi="Times New Roman" w:eastAsia="宋体"/>
          <w:sz w:val="18"/>
        </w:rPr>
        <w:t>[61] 叶澜. 教育概论[M]. 北京: 人民教育出版社, 2016: 89-102.</w:t>
      </w:r>
    </w:p>
    <w:p>
      <w:pPr>
        <w:spacing w:before="20" w:after="20"/>
        <w:ind w:hanging="420" w:left="420"/>
      </w:pPr>
      <w:r>
        <w:rPr>
          <w:rFonts w:ascii="Times New Roman" w:hAnsi="Times New Roman" w:eastAsia="宋体"/>
          <w:sz w:val="18"/>
        </w:rPr>
        <w:t>[62] 钟启泉. 现代教学论发展[M]. 上海: 华东师范大学出版社, 2019: 156-170.</w:t>
      </w:r>
    </w:p>
    <w:p>
      <w:pPr>
        <w:spacing w:before="20" w:after="20"/>
        <w:ind w:hanging="420" w:left="420"/>
      </w:pPr>
      <w:r>
        <w:rPr>
          <w:rFonts w:ascii="Times New Roman" w:hAnsi="Times New Roman" w:eastAsia="宋体"/>
          <w:sz w:val="18"/>
        </w:rPr>
        <w:t>[63] Bruner J. The Narrative Construction of Reality[J]. Critical Inquiry, 1991, 18(1): 1-21.</w:t>
      </w:r>
    </w:p>
    <w:p>
      <w:pPr>
        <w:spacing w:before="20" w:after="20"/>
        <w:ind w:hanging="420" w:left="420"/>
      </w:pPr>
      <w:r>
        <w:rPr>
          <w:rFonts w:ascii="Times New Roman" w:hAnsi="Times New Roman" w:eastAsia="宋体"/>
          <w:sz w:val="18"/>
        </w:rPr>
        <w:t>[64] Egan K. Teaching as Storytelling: An Alternative Approach to Teaching and the Curriculum[M]. Chicago: University of Chicago Press, 1986: 32-48.</w:t>
      </w:r>
    </w:p>
    <w:p>
      <w:pPr>
        <w:spacing w:before="20" w:after="20"/>
        <w:ind w:hanging="420" w:left="420"/>
      </w:pPr>
      <w:r>
        <w:rPr>
          <w:rFonts w:ascii="Times New Roman" w:hAnsi="Times New Roman" w:eastAsia="宋体"/>
          <w:sz w:val="18"/>
        </w:rPr>
        <w:t>[65] 辛自强. 认知负荷理论及其在教学中的应用[J]. 心理发展与教育, 2006, 22(2): 111-116.</w:t>
      </w:r>
    </w:p>
    <w:p>
      <w:pPr>
        <w:spacing w:before="20" w:after="20"/>
        <w:ind w:hanging="420" w:left="420"/>
      </w:pPr>
      <w:r>
        <w:rPr>
          <w:rFonts w:ascii="Times New Roman" w:hAnsi="Times New Roman" w:eastAsia="宋体"/>
          <w:sz w:val="18"/>
        </w:rPr>
        <w:t>[66] Tulving E. Episodic and Semantic Memory[M]//Tulving E, Donaldson W. Organization of Memory. New York: Academic Press, 1972: 382-403.</w:t>
      </w:r>
    </w:p>
    <w:p>
      <w:pPr>
        <w:spacing w:before="20" w:after="20"/>
        <w:ind w:hanging="420" w:left="420"/>
      </w:pPr>
      <w:r>
        <w:rPr>
          <w:rFonts w:ascii="Times New Roman" w:hAnsi="Times New Roman" w:eastAsia="宋体"/>
          <w:sz w:val="18"/>
        </w:rPr>
        <w:t>[67] 陈琦, 刘儒德. 当代教育心理学(第3版)[M]. 北京: 北京师范大学出版社, 2020: 124-136.</w:t>
      </w:r>
    </w:p>
    <w:p>
      <w:pPr>
        <w:spacing w:before="20" w:after="20"/>
        <w:ind w:hanging="420" w:left="420"/>
      </w:pPr>
      <w:r>
        <w:rPr>
          <w:rFonts w:ascii="Times New Roman" w:hAnsi="Times New Roman" w:eastAsia="宋体"/>
          <w:sz w:val="18"/>
        </w:rPr>
        <w:t>[68] von Glasersfeld E. Cognition, Knowledge Construction, and Teaching[J]. Synthese, 1989, 80(1): 121-140.</w:t>
      </w:r>
    </w:p>
    <w:p>
      <w:pPr>
        <w:spacing w:before="20" w:after="20"/>
        <w:ind w:hanging="420" w:left="420"/>
      </w:pPr>
      <w:r>
        <w:rPr>
          <w:rFonts w:ascii="Times New Roman" w:hAnsi="Times New Roman" w:eastAsia="宋体"/>
          <w:sz w:val="18"/>
        </w:rPr>
        <w:t>[69] 陈琦, 张建伟. 建构主义学习观要义评析[J]. 华东师范大学学报(教育科学版), 1998, 16(1): 61-68.</w:t>
      </w:r>
    </w:p>
    <w:p>
      <w:pPr>
        <w:spacing w:before="20" w:after="20"/>
        <w:ind w:hanging="420" w:left="420"/>
      </w:pPr>
      <w:r>
        <w:rPr>
          <w:rFonts w:ascii="Times New Roman" w:hAnsi="Times New Roman" w:eastAsia="宋体"/>
          <w:sz w:val="18"/>
        </w:rPr>
        <w:t>[70] 王沛, 康廷虎. 建构主义学习理论述评[J]. 教师教育研究, 2016, 28(5): 17-23.</w:t>
      </w:r>
    </w:p>
    <w:p>
      <w:pPr>
        <w:spacing w:before="20" w:after="20"/>
        <w:ind w:hanging="420" w:left="420"/>
      </w:pPr>
      <w:r>
        <w:rPr>
          <w:rFonts w:ascii="Times New Roman" w:hAnsi="Times New Roman" w:eastAsia="宋体"/>
          <w:sz w:val="18"/>
        </w:rPr>
        <w:t>[71] Anderson L W, Krathwohl D R. A Taxonomy for Learning, Teaching, and Assessing: A Revision of Bloom's Taxonomy of Educational Objectives[M]. New York: Longman, 2001: 67-89.</w:t>
      </w:r>
    </w:p>
    <w:p>
      <w:pPr>
        <w:spacing w:before="20" w:after="20"/>
        <w:ind w:hanging="420" w:left="420"/>
      </w:pPr>
      <w:r>
        <w:rPr>
          <w:rFonts w:ascii="Times New Roman" w:hAnsi="Times New Roman" w:eastAsia="宋体"/>
          <w:sz w:val="18"/>
        </w:rPr>
        <w:t>[72] Bloom B S, Engelhart M D, Furst E J, et al. Taxonomy of Educational Objectives: Handbook I, Cognitive Domain[M]. New York: David McKay, 1956: 20-24.</w:t>
      </w:r>
    </w:p>
    <w:p>
      <w:pPr>
        <w:spacing w:before="20" w:after="20"/>
        <w:ind w:hanging="420" w:left="420"/>
      </w:pPr>
      <w:r>
        <w:rPr>
          <w:rFonts w:ascii="Times New Roman" w:hAnsi="Times New Roman" w:eastAsia="宋体"/>
          <w:sz w:val="18"/>
        </w:rPr>
        <w:t>[73] Lave J, Wenger E. Situated Learning: Legitimate Peripheral Participation[M]. Cambridge: Cambridge University Press, 1991: 31-52.</w:t>
      </w:r>
    </w:p>
    <w:p>
      <w:pPr>
        <w:spacing w:before="20" w:after="20"/>
        <w:ind w:hanging="420" w:left="420"/>
      </w:pPr>
      <w:r>
        <w:rPr>
          <w:rFonts w:ascii="Times New Roman" w:hAnsi="Times New Roman" w:eastAsia="宋体"/>
          <w:sz w:val="18"/>
        </w:rPr>
        <w:t>[74] Brown J S, Collins A, Duguid P. Situated Cognition and the Culture of Learning[J]. Educational Researcher, 1989, 18(1): 32-42.</w:t>
      </w:r>
    </w:p>
    <w:p>
      <w:pPr>
        <w:spacing w:before="20" w:after="20"/>
        <w:ind w:hanging="420" w:left="420"/>
      </w:pPr>
      <w:r>
        <w:rPr>
          <w:rFonts w:ascii="Times New Roman" w:hAnsi="Times New Roman" w:eastAsia="宋体"/>
          <w:sz w:val="18"/>
        </w:rPr>
        <w:t>[75] 王文静. 情境学习理论研究综述[J]. 心理科学, 2005, 28(1): 195-197.</w:t>
      </w:r>
    </w:p>
    <w:p>
      <w:pPr>
        <w:spacing w:before="20" w:after="20"/>
        <w:ind w:hanging="420" w:left="420"/>
      </w:pPr>
      <w:r>
        <w:rPr>
          <w:rFonts w:ascii="Times New Roman" w:hAnsi="Times New Roman" w:eastAsia="宋体"/>
          <w:sz w:val="18"/>
        </w:rPr>
        <w:t>[76] Spady W G. Outcome-Based Education: Critical Issues and Answers[M]. Arlington: American Association of School Administrators, 1994: 15-32.</w:t>
      </w:r>
    </w:p>
    <w:p>
      <w:pPr>
        <w:spacing w:before="20" w:after="20"/>
        <w:ind w:hanging="420" w:left="420"/>
      </w:pPr>
      <w:r>
        <w:rPr>
          <w:rFonts w:ascii="Times New Roman" w:hAnsi="Times New Roman" w:eastAsia="宋体"/>
          <w:sz w:val="18"/>
        </w:rPr>
        <w:t>[77] 张男星, 张炼, 王新凤, 等. 理解OBE: 起源、核心与实践边界——兼议专业教育的范式转变[J]. 高等工程教育研究, 2020(3): 117-123.</w:t>
      </w:r>
    </w:p>
    <w:p>
      <w:pPr>
        <w:spacing w:before="20" w:after="20"/>
        <w:ind w:hanging="420" w:left="420"/>
      </w:pPr>
      <w:r>
        <w:rPr>
          <w:rFonts w:ascii="Times New Roman" w:hAnsi="Times New Roman" w:eastAsia="宋体"/>
          <w:sz w:val="18"/>
        </w:rPr>
        <w:t>[78] 刘建珠. 基于成果的教育：缘起、内涵与框架[J]. 深圳职业技术学院学报, 2019, 17(2): 45-50.</w:t>
      </w:r>
    </w:p>
    <w:p>
      <w:pPr>
        <w:spacing w:before="20" w:after="20"/>
        <w:ind w:hanging="420" w:left="420"/>
      </w:pPr>
      <w:r>
        <w:rPr>
          <w:rFonts w:ascii="Times New Roman" w:hAnsi="Times New Roman" w:eastAsia="宋体"/>
          <w:sz w:val="18"/>
        </w:rPr>
        <w:t>[79] 顾佩华, 胡文龙, 林鹏, 等. 基于OBE的工程教育模式——汕头大学的实践与探索[J]. 高等工程教育研究, 2014(1): 27-37.</w:t>
      </w:r>
    </w:p>
    <w:p>
      <w:pPr>
        <w:spacing w:before="20" w:after="20"/>
        <w:ind w:hanging="420" w:left="420"/>
      </w:pPr>
      <w:r>
        <w:rPr>
          <w:rFonts w:ascii="Times New Roman" w:hAnsi="Times New Roman" w:eastAsia="宋体"/>
          <w:sz w:val="18"/>
        </w:rPr>
        <w:t>[80] 余天佐, 刘少雪. OBE理念下高校课程成果产出机制构建[J]. 高等理科教育, 2021(2): 89-95.</w:t>
      </w:r>
    </w:p>
    <w:p>
      <w:pPr>
        <w:spacing w:before="20" w:after="20"/>
        <w:ind w:hanging="420" w:left="420"/>
      </w:pPr>
      <w:r>
        <w:rPr>
          <w:rFonts w:ascii="Times New Roman" w:hAnsi="Times New Roman" w:eastAsia="宋体"/>
          <w:sz w:val="18"/>
        </w:rPr>
        <w:t>[81] 申天恩, 斯蒂文·洛克. 论成果导向的教育理念[J]. 高校教育管理, 2016, 10(5): 1-7.</w:t>
      </w:r>
    </w:p>
    <w:p>
      <w:pPr>
        <w:spacing w:before="20" w:after="20"/>
        <w:ind w:hanging="420" w:left="420"/>
      </w:pPr>
      <w:r>
        <w:rPr>
          <w:rFonts w:ascii="Times New Roman" w:hAnsi="Times New Roman" w:eastAsia="宋体"/>
          <w:sz w:val="18"/>
        </w:rPr>
        <w:t>[82] Piaget J. The Psychology of Intelligence[M]. London: Routledge, 2001: 8-10.</w:t>
      </w:r>
    </w:p>
    <w:p>
      <w:pPr>
        <w:spacing w:before="20" w:after="20"/>
        <w:ind w:hanging="420" w:left="420"/>
      </w:pPr>
      <w:r>
        <w:rPr>
          <w:rFonts w:ascii="Times New Roman" w:hAnsi="Times New Roman" w:eastAsia="宋体"/>
          <w:sz w:val="18"/>
        </w:rPr>
        <w:t>[83] Sweller J. Cognitive Load During Problem Solving: Effects on Learning[J]. Cognitive Science, 1988, 12(2): 257-285.</w:t>
      </w:r>
    </w:p>
    <w:p>
      <w:pPr>
        <w:spacing w:before="20" w:after="20"/>
        <w:ind w:hanging="420" w:left="420"/>
      </w:pPr>
      <w:r>
        <w:rPr>
          <w:rFonts w:ascii="Times New Roman" w:hAnsi="Times New Roman" w:eastAsia="宋体"/>
          <w:sz w:val="18"/>
        </w:rPr>
        <w:t>[84] Tulving E. Episodic and Semantic Memory[M]//Tulving E, Donaldson W. Organization of Memory. New York: Academic Press, 1972: 382-403.</w:t>
      </w:r>
    </w:p>
    <w:p>
      <w:pPr>
        <w:spacing w:before="20" w:after="20"/>
        <w:ind w:hanging="420" w:left="420"/>
      </w:pPr>
      <w:r>
        <w:rPr>
          <w:rFonts w:ascii="Times New Roman" w:hAnsi="Times New Roman" w:eastAsia="宋体"/>
          <w:sz w:val="18"/>
        </w:rPr>
        <w:t>[85] von Glasersfeld E. Cognition, Knowledge Construction, and Teaching[J]. Synthese, 1989, 80(1): 121-140.</w:t>
      </w:r>
    </w:p>
    <w:p>
      <w:pPr>
        <w:spacing w:before="20" w:after="20"/>
        <w:ind w:hanging="420" w:left="420"/>
      </w:pPr>
      <w:r>
        <w:rPr>
          <w:rFonts w:ascii="Times New Roman" w:hAnsi="Times New Roman" w:eastAsia="宋体"/>
          <w:sz w:val="18"/>
        </w:rPr>
        <w:t>[86] Anderson L W, Krathwohl D R. A Taxonomy for Learning, Teaching, and Assessing: A Revision of Bloom's Taxonomy of Educational Objectives[M]. New York: Longman, 2001: 67-89.</w:t>
      </w:r>
    </w:p>
    <w:p>
      <w:pPr>
        <w:spacing w:before="20" w:after="20"/>
        <w:ind w:hanging="420" w:left="420"/>
      </w:pPr>
      <w:r>
        <w:rPr>
          <w:rFonts w:ascii="Times New Roman" w:hAnsi="Times New Roman" w:eastAsia="宋体"/>
          <w:sz w:val="18"/>
        </w:rPr>
        <w:t>[87] Lave J, Wenger E. Situated Learning: Legitimate Peripheral Participation[M]. Cambridge: Cambridge University Press, 1991: 31-52.</w:t>
      </w:r>
    </w:p>
    <w:p>
      <w:pPr>
        <w:spacing w:before="20" w:after="20"/>
        <w:ind w:hanging="420" w:left="420"/>
      </w:pPr>
      <w:r>
        <w:rPr>
          <w:rFonts w:ascii="Times New Roman" w:hAnsi="Times New Roman" w:eastAsia="宋体"/>
          <w:sz w:val="18"/>
        </w:rPr>
        <w:t>[88] Spady W G. Outcome-Based Education: Critical Issues and Answers[M]. Arlington: American Association of School Administrators, 1994: 15-32.</w:t>
      </w:r>
    </w:p>
    <w:p>
      <w:pPr>
        <w:spacing w:before="20" w:after="20"/>
        <w:ind w:hanging="420" w:left="420"/>
      </w:pPr>
      <w:r>
        <w:rPr>
          <w:rFonts w:ascii="Times New Roman" w:hAnsi="Times New Roman" w:eastAsia="宋体"/>
          <w:sz w:val="18"/>
        </w:rPr>
        <w:t>[89] 安启美, 吴红. 认知负荷理论综述[J]. 心理学进展, 2015, 5(1): 50-55.</w:t>
      </w:r>
    </w:p>
    <w:p>
      <w:pPr>
        <w:spacing w:before="20" w:after="20"/>
        <w:ind w:hanging="420" w:left="420"/>
      </w:pPr>
      <w:r>
        <w:rPr>
          <w:rFonts w:ascii="Times New Roman" w:hAnsi="Times New Roman" w:eastAsia="宋体"/>
          <w:sz w:val="18"/>
        </w:rPr>
        <w:t>[90] 黄荣怀, 高媛, 李冀红. 智慧学习环境中的认知负荷问题[J]. 开放教育研究, 2017, 23(1): 24-32.</w:t>
      </w:r>
    </w:p>
    <w:sectPr w:rsidR="00FC693F" w:rsidRPr="0006063C" w:rsidSect="00034616">
      <w:pgSz w:w="8391" w:h="11906"/>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