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  <w:pBdr>
          <w:bottom w:val="single" w:sz="12" w:space="6" w:color="002B5C"/>
        </w:pBdr>
      </w:pPr>
      <w:r>
        <w:rPr>
          <w:rFonts w:ascii="黑体" w:hAnsi="黑体" w:eastAsia="黑体"/>
          <w:b/>
          <w:i w:val="0"/>
          <w:color w:val="002B5C"/>
          <w:sz w:val="72"/>
        </w:rPr>
        <w:t>选题简介</w:t>
      </w:r>
    </w:p>
    <w:p/>
    <w:p>
      <w:pPr>
        <w:jc w:val="center"/>
      </w:pPr>
      <w:r>
        <w:rPr>
          <w:rFonts w:ascii="华文楷体" w:hAnsi="华文楷体" w:eastAsia="华文楷体"/>
          <w:b/>
          <w:i w:val="0"/>
          <w:color w:val="333333"/>
          <w:sz w:val="32"/>
        </w:rPr>
        <w:t>《叙事·门户·智能体——</w:t>
      </w:r>
    </w:p>
    <w:p>
      <w:pPr>
        <w:jc w:val="center"/>
      </w:pPr>
      <w:r>
        <w:rPr>
          <w:rFonts w:ascii="华文楷体" w:hAnsi="华文楷体" w:eastAsia="华文楷体"/>
          <w:b/>
          <w:i w:val="0"/>
          <w:color w:val="333333"/>
          <w:sz w:val="32"/>
        </w:rPr>
        <w:t xml:space="preserve">　"叙·框·境·创"工程研究生教学法》</w:t>
      </w:r>
    </w:p>
    <w:p/>
    <w:p/>
    <w:p/>
    <w:p/>
    <w:p>
      <w:pPr>
        <w:jc w:val="center"/>
      </w:pPr>
      <w:r>
        <w:rPr>
          <w:rFonts w:ascii="宋体" w:hAnsi="宋体" w:eastAsia="宋体"/>
          <w:b w:val="0"/>
          <w:i w:val="0"/>
          <w:color w:val="002B5C"/>
          <w:sz w:val="32"/>
        </w:rPr>
        <w:t>黄正文　教授</w:t>
      </w:r>
    </w:p>
    <w:p/>
    <w:p>
      <w:pPr>
        <w:jc w:val="center"/>
      </w:pPr>
      <w:r>
        <w:rPr>
          <w:rFonts w:ascii="宋体" w:hAnsi="宋体" w:eastAsia="宋体"/>
          <w:b w:val="0"/>
          <w:i w:val="0"/>
          <w:color w:val="004D8C"/>
          <w:sz w:val="26"/>
        </w:rPr>
        <w:t>成都大学环境工程系</w:t>
      </w:r>
    </w:p>
    <w:p/>
    <w:p>
      <w:pPr>
        <w:jc w:val="center"/>
      </w:pPr>
      <w:r>
        <w:rPr>
          <w:rFonts w:ascii="宋体" w:hAnsi="宋体" w:eastAsia="宋体"/>
          <w:b w:val="0"/>
          <w:i w:val="0"/>
          <w:color w:val="004D8C"/>
          <w:sz w:val="26"/>
        </w:rPr>
        <w:t>二〇二六　初夏</w:t>
      </w:r>
    </w:p>
    <w:p>
      <w:r>
        <w:br w:type="page"/>
      </w:r>
    </w:p>
    <w:p>
      <w:pPr>
        <w:spacing w:before="40" w:after="40"/>
        <w:pBdr>
          <w:bottom w:val="single" w:sz="8" w:space="1" w:color="002B5C"/>
        </w:pBdr>
      </w:pPr>
    </w:p>
    <w:p>
      <w:pPr>
        <w:spacing w:before="40" w:after="40"/>
        <w:pBdr>
          <w:bottom w:val="single" w:sz="8" w:space="1" w:color="002B5C"/>
        </w:pBdr>
      </w:pP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32"/>
        </w:rPr>
        <w:t>一、选题名称</w:t>
      </w:r>
    </w:p>
    <w:p>
      <w:pPr>
        <w:spacing w:line="360" w:lineRule="auto" w:before="40" w:after="40"/>
      </w:pPr>
      <w:r>
        <w:rPr>
          <w:rFonts w:ascii="宋体" w:hAnsi="宋体" w:eastAsia="宋体"/>
          <w:b w:val="0"/>
          <w:i w:val="0"/>
          <w:color w:val="333333"/>
          <w:sz w:val="22"/>
        </w:rPr>
        <w:t>《叙事·门户·智能体——"叙·框·境·创"工程研究生教学法》</w:t>
      </w:r>
    </w:p>
    <w:p>
      <w:pPr>
        <w:spacing w:before="40" w:after="40"/>
        <w:pBdr>
          <w:bottom w:val="single" w:sz="8" w:space="1" w:color="002B5C"/>
        </w:pBdr>
      </w:pP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32"/>
        </w:rPr>
        <w:t>二、作者简介</w:t>
      </w:r>
    </w:p>
    <w:p>
      <w:pPr>
        <w:spacing w:line="360" w:lineRule="auto" w:before="40" w:after="40"/>
      </w:pPr>
      <w:r>
        <w:rPr>
          <w:rFonts w:ascii="宋体" w:hAnsi="宋体" w:eastAsia="宋体"/>
          <w:b w:val="0"/>
          <w:i w:val="0"/>
          <w:color w:val="333333"/>
          <w:sz w:val="22"/>
        </w:rPr>
        <w:t>黄正文，成都大学环境工程系教授。深耕固废治污技术与工科研究生教学凡二十余年。著环境纪实小说七部（200万字，持续更新中），连载于QQ阅读、17K平台，版权悉已登记。主成都大学研究生"课程思政"示范课《固体废弃物污染防治技术》，拟申报四川省研究生教改重点项目。</w:t>
      </w:r>
    </w:p>
    <w:p>
      <w:pPr>
        <w:spacing w:before="40" w:after="40"/>
        <w:pBdr>
          <w:bottom w:val="single" w:sz="8" w:space="1" w:color="002B5C"/>
        </w:pBdr>
      </w:pP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32"/>
        </w:rPr>
        <w:t>三、内容提要</w:t>
      </w:r>
    </w:p>
    <w:p>
      <w:pPr>
        <w:spacing w:line="360" w:lineRule="auto" w:before="40" w:after="40"/>
      </w:pPr>
      <w:r>
        <w:rPr>
          <w:rFonts w:ascii="宋体" w:hAnsi="宋体" w:eastAsia="宋体"/>
          <w:b w:val="0"/>
          <w:i w:val="0"/>
          <w:color w:val="333333"/>
          <w:sz w:val="22"/>
        </w:rPr>
        <w:t>本书所论，乃一套工程研究生教学创新体系。其要有五：一曰叙事引擎，纪实小说云驱动；二曰操作模型，"叙·框·境·创"四维递进；三曰分析框架，五维错配-修复；四曰数字基座，教学-学习双重门户；五曰智能协同，九-Agent伴学体系。</w:t>
      </w:r>
    </w:p>
    <w:p>
      <w:pPr>
        <w:spacing w:line="360" w:lineRule="auto" w:before="40" w:after="40"/>
      </w:pPr>
      <w:r>
        <w:rPr>
          <w:rFonts w:ascii="宋体" w:hAnsi="宋体" w:eastAsia="宋体"/>
          <w:b w:val="0"/>
          <w:i w:val="0"/>
          <w:color w:val="333333"/>
          <w:sz w:val="22"/>
        </w:rPr>
        <w:t>全书以成都大学环境工程研究生课程《固体废弃物污染防治技术》为实践载体，凡十章四附录，贯通理念建构、框架开发、门户部署、Agent协同、思政融入、八周实录、效果评价、迁移推广之全链。</w:t>
      </w:r>
    </w:p>
    <w:p>
      <w:pPr>
        <w:spacing w:before="40" w:after="40"/>
        <w:pBdr>
          <w:bottom w:val="single" w:sz="8" w:space="1" w:color="002B5C"/>
        </w:pBdr>
      </w:pP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32"/>
        </w:rPr>
        <w:t>四、核心创新点</w:t>
      </w:r>
    </w:p>
    <w:p>
      <w:pPr>
        <w:spacing w:line="360" w:lineRule="auto" w:before="40" w:after="40"/>
        <w:ind w:firstLine="420" w:left="420"/>
      </w:pPr>
      <w:r>
        <w:rPr>
          <w:rFonts w:ascii="宋体" w:hAnsi="宋体" w:eastAsia="宋体"/>
          <w:b/>
          <w:i w:val="0"/>
          <w:color w:val="333333"/>
          <w:sz w:val="22"/>
        </w:rPr>
        <w:t>1. 原创教学法</w:t>
      </w:r>
      <w:r>
        <w:rPr>
          <w:rFonts w:ascii="宋体" w:hAnsi="宋体" w:eastAsia="宋体"/>
          <w:b w:val="0"/>
          <w:i w:val="0"/>
          <w:color w:val="333333"/>
          <w:sz w:val="22"/>
        </w:rPr>
        <w:t>：创"叙·框·境·创"四维递进教学模型——叙以启智，框以授器，境以淬能，创以致用。</w:t>
      </w:r>
    </w:p>
    <w:p>
      <w:pPr>
        <w:spacing w:line="360" w:lineRule="auto" w:before="40" w:after="40"/>
        <w:ind w:firstLine="420" w:left="420"/>
      </w:pPr>
      <w:r>
        <w:rPr>
          <w:rFonts w:ascii="宋体" w:hAnsi="宋体" w:eastAsia="宋体"/>
          <w:b/>
          <w:i w:val="0"/>
          <w:color w:val="333333"/>
          <w:sz w:val="22"/>
        </w:rPr>
        <w:t>2. 叙事-教学耦合</w:t>
      </w:r>
      <w:r>
        <w:rPr>
          <w:rFonts w:ascii="宋体" w:hAnsi="宋体" w:eastAsia="宋体"/>
          <w:b w:val="0"/>
          <w:i w:val="0"/>
          <w:color w:val="333333"/>
          <w:sz w:val="22"/>
        </w:rPr>
        <w:t>：创纪实小说云驱动案例生成法。取著者七部纪实小说，以五段叙事拆解法化为标准教学案（S001-S021）。素材真切可感，版权悉已确权，自成教育资产。</w:t>
      </w:r>
    </w:p>
    <w:p>
      <w:pPr>
        <w:spacing w:line="360" w:lineRule="auto" w:before="40" w:after="40"/>
        <w:ind w:firstLine="420" w:left="420"/>
      </w:pPr>
      <w:r>
        <w:rPr>
          <w:rFonts w:ascii="宋体" w:hAnsi="宋体" w:eastAsia="宋体"/>
          <w:b/>
          <w:i w:val="0"/>
          <w:color w:val="333333"/>
          <w:sz w:val="22"/>
        </w:rPr>
        <w:t>3. 数字基座设计</w:t>
      </w:r>
      <w:r>
        <w:rPr>
          <w:rFonts w:ascii="宋体" w:hAnsi="宋体" w:eastAsia="宋体"/>
          <w:b w:val="0"/>
          <w:i w:val="0"/>
          <w:color w:val="333333"/>
          <w:sz w:val="22"/>
        </w:rPr>
        <w:t>：自研"教学-学习"双重数字门户。纯静态架构（HTML/CSS/JS），GitHub Pages零费部署。零配置即得进度追踪，四段式页型贯通学习全周。</w:t>
      </w:r>
    </w:p>
    <w:p>
      <w:pPr>
        <w:spacing w:line="360" w:lineRule="auto" w:before="40" w:after="40"/>
        <w:ind w:firstLine="420" w:left="420"/>
      </w:pPr>
      <w:r>
        <w:rPr>
          <w:rFonts w:ascii="宋体" w:hAnsi="宋体" w:eastAsia="宋体"/>
          <w:b/>
          <w:i w:val="0"/>
          <w:color w:val="333333"/>
          <w:sz w:val="22"/>
        </w:rPr>
        <w:t>4. AI Agent协同</w:t>
      </w:r>
      <w:r>
        <w:rPr>
          <w:rFonts w:ascii="宋体" w:hAnsi="宋体" w:eastAsia="宋体"/>
          <w:b w:val="0"/>
          <w:i w:val="0"/>
          <w:color w:val="333333"/>
          <w:sz w:val="22"/>
        </w:rPr>
        <w:t>：设计九-Agent协同教学体系，立师端至生端双向映射之法。Agent自教具化为伴学者，不替师，唯辅学。</w:t>
      </w:r>
    </w:p>
    <w:p>
      <w:pPr>
        <w:spacing w:line="360" w:lineRule="auto" w:before="40" w:after="40"/>
        <w:ind w:firstLine="420" w:left="420"/>
      </w:pPr>
      <w:r>
        <w:rPr>
          <w:rFonts w:ascii="宋体" w:hAnsi="宋体" w:eastAsia="宋体"/>
          <w:b/>
          <w:i w:val="0"/>
          <w:color w:val="333333"/>
          <w:sz w:val="22"/>
        </w:rPr>
        <w:t>5. 课程思政叙事化</w:t>
      </w:r>
      <w:r>
        <w:rPr>
          <w:rFonts w:ascii="宋体" w:hAnsi="宋体" w:eastAsia="宋体"/>
          <w:b w:val="0"/>
          <w:i w:val="0"/>
          <w:color w:val="333333"/>
          <w:sz w:val="22"/>
        </w:rPr>
        <w:t>：立"看不见的思政"之则。化思政元素于叙事素材、错配框架、场景模拟之中，浑然不觉而润物无声，破工程课堂"两张皮"困局。</w:t>
      </w:r>
    </w:p>
    <w:p>
      <w:pPr>
        <w:spacing w:before="40" w:after="40"/>
        <w:pBdr>
          <w:bottom w:val="single" w:sz="8" w:space="1" w:color="002B5C"/>
        </w:pBdr>
      </w:pP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32"/>
        </w:rPr>
        <w:t>五、读者对象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环境工程及相关工科专业高校教师、研究生导师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高校教学改革与课程建设管理人员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教育技术、教育信息化领域研究者与从业者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关注工程教育创新与课程思政建设之研究生与本科生</w:t>
      </w:r>
    </w:p>
    <w:p>
      <w:pPr>
        <w:spacing w:before="40" w:after="40"/>
        <w:pBdr>
          <w:bottom w:val="single" w:sz="8" w:space="1" w:color="002B5C"/>
        </w:pBdr>
      </w:pP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32"/>
        </w:rPr>
        <w:t>六、市场分析</w:t>
      </w:r>
    </w:p>
    <w:p>
      <w:pPr>
        <w:spacing w:line="360" w:lineRule="auto" w:before="40" w:after="40"/>
      </w:pPr>
      <w:r>
        <w:rPr>
          <w:rFonts w:ascii="宋体" w:hAnsi="宋体" w:eastAsia="宋体"/>
          <w:b w:val="0"/>
          <w:i w:val="0"/>
          <w:color w:val="333333"/>
          <w:sz w:val="22"/>
        </w:rPr>
        <w:t>工程教育自"知识传授型"向"能力培养型"转轨，呼声日盛。然成体系、可操作、有实据支撑之教学法专著，仍属稀缺。本书以一门课为完整样本，供理念、实施、评价全套可迁移方案。著者已出版纪实小说七部（QQ阅读、17K），为本书叙事引擎筑独特内容壁垒，兼蓄跨圈传播潜力。</w:t>
      </w:r>
    </w:p>
    <w:p>
      <w:pPr>
        <w:spacing w:before="40" w:after="40"/>
        <w:pBdr>
          <w:bottom w:val="single" w:sz="8" w:space="1" w:color="002B5C"/>
        </w:pBdr>
      </w:pP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32"/>
        </w:rPr>
        <w:t>七、预估规模</w:t>
      </w:r>
    </w:p>
    <w:p>
      <w:pPr>
        <w:spacing w:line="360" w:lineRule="auto" w:before="40" w:after="40"/>
      </w:pPr>
      <w:r>
        <w:rPr>
          <w:rFonts w:ascii="宋体" w:hAnsi="宋体" w:eastAsia="宋体"/>
          <w:b w:val="0"/>
          <w:i w:val="0"/>
          <w:color w:val="333333"/>
          <w:sz w:val="22"/>
        </w:rPr>
        <w:t>正文约二十万字，含附录，成书约四百五十页。</w:t>
      </w:r>
    </w:p>
    <w:p>
      <w:pPr>
        <w:spacing w:before="40" w:after="40"/>
        <w:pBdr>
          <w:bottom w:val="single" w:sz="8" w:space="1" w:color="002B5C"/>
        </w:pBdr>
      </w:pP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32"/>
        </w:rPr>
        <w:t>八、已有基础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课程已获批成都大学研究生"课程思政"示范课立项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配套数字门户上线运营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纪实小说七部出版上线，版权悉已登记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教学素材母库建成（S001-S021，凡二十一选段）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本科《固体废物处理与处置》六章知识体系已整理归档，与研究生前置自检系统联动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衍生教研论文七篇，大纲齐备，部分已入定稿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四川省研究生教改重点项目申报推进中</w:t>
      </w:r>
    </w:p>
    <w:p>
      <w:pPr>
        <w:spacing w:before="40" w:after="40"/>
        <w:pBdr>
          <w:bottom w:val="single" w:sz="8" w:space="1" w:color="002B5C"/>
        </w:pBdr>
      </w:pP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32"/>
        </w:rPr>
        <w:t>九、联系方式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EAF0F8" w:val="clear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姓　名</w:t>
            </w:r>
          </w:p>
        </w:tc>
        <w:tc>
          <w:tcPr>
            <w:tcW w:type="dxa" w:w="5386"/>
            <w:shd w:fill="EAF0F8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黄正文</w:t>
            </w:r>
          </w:p>
        </w:tc>
      </w:tr>
      <w:tr>
        <w:tc>
          <w:tcPr>
            <w:tcW w:type="dxa" w:w="1701"/>
            <w:shd w:fill="EAF0F8" w:val="clear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单　位</w:t>
            </w:r>
          </w:p>
        </w:tc>
        <w:tc>
          <w:tcPr>
            <w:tcW w:type="dxa" w:w="5386"/>
            <w:shd w:fill="EAF0F8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成都大学建筑与土木工程学院环境工程系</w:t>
            </w:r>
          </w:p>
        </w:tc>
      </w:tr>
      <w:tr>
        <w:tc>
          <w:tcPr>
            <w:tcW w:type="dxa" w:w="1701"/>
            <w:shd w:fill="EAF0F8" w:val="clear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地　址</w:t>
            </w:r>
          </w:p>
        </w:tc>
        <w:tc>
          <w:tcPr>
            <w:tcW w:type="dxa" w:w="5386"/>
            <w:shd w:fill="EAF0F8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成都 610106</w:t>
            </w:r>
          </w:p>
        </w:tc>
      </w:tr>
      <w:tr>
        <w:tc>
          <w:tcPr>
            <w:tcW w:type="dxa" w:w="1701"/>
            <w:shd w:fill="EAF0F8" w:val="clear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邮　箱</w:t>
            </w:r>
          </w:p>
        </w:tc>
        <w:tc>
          <w:tcPr>
            <w:tcW w:type="dxa" w:w="5386"/>
            <w:shd w:fill="EAF0F8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huangzhengwen@cdu.edu.cn</w:t>
            </w:r>
          </w:p>
        </w:tc>
      </w:tr>
    </w:tbl>
    <w:p/>
    <w:p>
      <w:r>
        <w:br w:type="page"/>
      </w:r>
    </w:p>
    <w:p>
      <w:pPr>
        <w:spacing w:before="40" w:after="40"/>
        <w:pBdr>
          <w:bottom w:val="single" w:sz="8" w:space="1" w:color="002B5C"/>
        </w:pBdr>
      </w:pPr>
    </w:p>
    <w:p>
      <w:pPr>
        <w:spacing w:before="40" w:after="40"/>
        <w:pBdr>
          <w:bottom w:val="single" w:sz="8" w:space="1" w:color="002B5C"/>
        </w:pBdr>
      </w:pP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32"/>
        </w:rPr>
        <w:t>附件：本书三级目录</w:t>
      </w:r>
    </w:p>
    <w:p>
      <w:pPr>
        <w:spacing w:before="40" w:after="40"/>
        <w:pBdr>
          <w:bottom w:val="single" w:sz="8" w:space="1" w:color="002B5C"/>
        </w:pBdr>
      </w:pP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26"/>
        </w:rPr>
        <w:t>第一章　绪论：工程研究生教学的困境与突围（~1.5万字）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1.1　工程研究生教育的时代困境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1.1.1　"三多三少"的课堂现实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1.1.2　传统讲授法在工科研究生层次的三个极限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1.1.3　从"技术执行者"到"系统决策者"的培养目标跃迁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1.2　固体废弃物课程的教改契机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1.2.1　固废课程的跨学科本质与教学挑战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1.2.2　成都大学环境工程系研究生课程改革背景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1.2.3　课程思政示范课程立项与国家教改政策窗口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1.3　本书的写作逻辑与阅读指引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1.3.1　"理念→框架→方法→平台→实践→评价→推广"的逻辑链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1.3.2　理论章与实践章的差异化阅读建议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1.3.3　与演示门户的配合使用说明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26"/>
        </w:rPr>
        <w:t>第二章　理论基础："叙·框·境·创"四维教学法（~2.5万字）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2.1　四维教学法的理论溯源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2.1.1　叙事学习理论：故事作为认知入口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2.1.2　建构主义学习理论：框架作为思维工具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2.1.3　情境学习理论：场景作为能力熔炉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2.1.4　成果导向教育（OBE）：创造作为学习闭环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2.2　"叙·框·境·创"的完整学理推导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2.2.1　叙：以纪实小说触发感性认知的叙事设计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2.2.2　框：以"错配-修复"框架赋予分析工具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2.2.3　境：以场景模拟淬炼应用能力的沉浸式设计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2.2.4　创：以三轨综合产出实现创造致用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2.2.5　四维递进的内在逻辑：从认知激活到知识再生产的闭环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2.3　与已有教学法的比较分析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2.3.1　与案例教学法的异同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2.3.2　与PBL（问题导向学习）的异同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2.3.3　与翻转课堂的异同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2.3.4　四维教学法的独特贡献：叙事驱动×框架穿透×场景加速×创造闭环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26"/>
        </w:rPr>
        <w:t>第三章　分析框架：五维错配-修复体系（~2.5万字）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3.1　为什么是"错配"——工程实践的认识论提炼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3.1.1　资源错配导致效率损失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3.1.2　空间错配导致环境不公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3.1.3　从"发现问题"到"定义概念"：错配作为统一分析范式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3.2　七个子框架的完整展开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3.2.1　空间错配五维：选址谬误 / 规划滞后 / 容量失衡 / 运输悖论 / 边界模糊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3.2.2　选址正义性四维：地质承载 / 环境容量 / 社会可接受 / 代际公平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3.2.3　技术错配三型：过度设计 / 低配高用 / 方向性错误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3.2.4　垃圾时间三维：工艺时间 / 环境效益兑现时间 / 投资回收时间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3.2.5　行为错配四因：认知阻隔 / 便利性陷阱 / 社会规范缺位 / 反馈延迟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3.2.6　EPR错配三源：责任界定模糊 / 执行成本转嫁 / 监督失灵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3.2.7　人文错配三维：分配正义缺陷 / 程序正义缺失 / 承认正义忽视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3.3　五维统一诊断矩阵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3.3.1　矩阵的构建逻辑：空间×技术×行为×人文×时间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3.3.2　从独立诊断到系统整合的推演过程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3.3.3　矩阵在综合案例中的应用示例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3.4　"五垃圾"标签体系——课程的认知脚手架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3.4.1　垃圾资产 / 垃圾空间 / 垃圾时间 / 垃圾技术 / 垃圾模式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3.4.2　标签与错配维度的映射关系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3.4.3　标签在八周教学中的渐进式展开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26"/>
        </w:rPr>
        <w:t>第四章　叙事引擎：纪实小说云驱动的案例方法（~2.5万字）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4.1　纪实小说云的构建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4.1.1　七部纪实小说的创作背景与教育意图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4.1.2　S001-S021选段的选择逻辑与维度覆盖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4.1.3　素材母库的维护机制与扩展规则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4.2　五段叙事拆解法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4.2.1　背景→冲突→决策→结局→启示的标准化拆解流程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4.2.2　从"工程叙事"到"教学案例"的转化三步骤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4.2.3　方法论语块：可复用的拆解模板与操作范例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4.3　四重错配的叙事化呈现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4.3.1　空间错配叙事：《龙栖湾》的土地贬值与邻避困境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4.3.2　技术错配叙事：《青龙湖》的技术与来料双重错配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4.3.3　行为错配叙事：《杨柳坝与刘家湾》的乡村分类困局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4.3.4　人文错配叙事：《三多里巷》的尊严与正义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4.3.5　四重叙事的方法论闭环：从个案到原型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4.4　纪实小说作为教学素材的独特价值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4.4.1　真实性与情感性的双重教育优势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4.4.2　版权确权的教育资产属性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4.4.3　与商业案例、虚构案例的比较优势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26"/>
        </w:rPr>
        <w:t>第五章　数字基座："教学-学习"双重门户设计与操作（~2.5万字）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5.1　门户的设计哲学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5.1.1　从"课程网站"到"教学数字门户"的理念演进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5.1.2　双重门户架构：教师端"管"×学生端"学"的协同设计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5.1.3　零配置部署哲学：纯静态HTML/CSS/JS + GitHub Pages推送即用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5.1.4　响应式设计：移动端与桌面端的一体化体验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5.2　教师门户——功能架构与使用指南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5.2.1　首页导航（index.html）：信息枢纽与品牌展示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5.2.2　课程概览：OBE四目标×八周框架的矩阵呈现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5.2.3　章节导航：八周完整教学方案的层级索引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5.2.4　知识导图：故事云驱动的知识树可视化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5.2.5　Agent团队演示：9-Agent协同体系的可视化说明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5.2.6　互动社区：签到打卡·周报提交·同行评价的功能设计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5.2.7　教师仪表盘：数据查阅·答疑管理·教学监控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5.3　学习园地——以学为中心的子门户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5.3.1　信息架构设计：三折叠导览（概览/导航/自测）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5.3.2　八周学习计划与进度追踪：localStorage零配置实现详解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5.3.3　每周学习页的四段式纵向结构：预习→学习→作业→AI赋能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5.3.4　学生操作指南：从第1周到第8周的完整学习路径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5.3.5　进度标记与学习数据的自主管理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5.3.6　三层渐进式前置自检导航——"温故而知新"按钮、隐藏知识点列表与锚点详情页的交互设计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5.3.7　本科知识归档体系——六章知识要点HTML化、跨章锚点跳转与研-本课程联动机制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5.4　技术实现与部署维护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5.4.1　技术栈说明（HTML5+CSS3+原生JavaScript+localStorage）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5.4.2　GitHub Pages部署与版本管理流程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5.4.3　内容更新操作手册（含截图分步说明）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5.5　门户功能索引与截图对照表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26"/>
        </w:rPr>
        <w:t>第六章　智能协同：AI Agent教学体系（~2万字）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6.1　从单点AI工具到Agent协同体系的演进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6.1.1　现有AI教育工具的碎片化困境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6.1.2　Agent体系的设计初衷：全流程覆盖而非单点替代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6.1.3　核心原则：Agent辅助教师，而非取代教师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6.2　9-Agent协同教学体系全景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6.2.1　教师端Agent的角色分工与工作流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6.2.2　各Agent的能力边界与协作数据流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6.2.3　Agent体系的可视化架构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6.3　"教→伴学"的双向角色映射方法论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6.3.1　角色再定义原则：保持编号与数量，重塑学生端职能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6.3.2　教师端→学生端的逐对映射表与转换逻辑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6.3.3　案例一：Agent-S——从"故事拆解员"到"案例解读员"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6.3.4　案例二：Agent-B——从"学术品牌建设"到"研创向导"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6.3.5　角色映射的设计约束：信息对等 / 术语一致 / 独立可调用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6.4　学生端Agent的使用场景与方法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6.4.1　学习流6步与Agent的对应调用关系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6.4.2　专属Prompt的设计原理与使用指南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6.4.3　助学团队学生版门户操作说明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26"/>
        </w:rPr>
        <w:t>第七章　价值融入：课程思政的叙事化路径（~2万字）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7.1　工程课程思政的两个常见困境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7.1.1　"标签化"：罗列思政要求但不落地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7.1.2　"两张皮"：思政内容与专业教学分离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7.1.3　叙事化路径的破解逻辑：故事比说教更能传递价值观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7.2　课程思政的叙事化路径设计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7.2.1　门户首页思政标语的叙事承载："绿水青山=金山银山"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7.2.2　纪实小说云作为思政素材库：S001-S021的思政内涵地图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7.2.3　"看不见的思政"原则：价值观嵌入故事，而非口号嵌入课堂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7.3　思政元素在错配框架中的多维嵌入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7.3.1　空间维度→社会公平："谁的资产被剥夺？"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7.3.2　技术维度→工程师责任："技术为谁服务？"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7.3.3　行为维度→制度伦理："制度设计中的公平"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7.3.4　人文维度→环境正义："邻避不是自私"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7.4　场景沉浸中的伦理觉醒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7.4.1　模拟法庭中的价值判断与角色代入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7.4.2　公众听证会中的公平诉求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7.4.3　运营危机应对中的责任担当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26"/>
        </w:rPr>
        <w:t>第八章　八周实践：教学全程实录（~3万字）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2B5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节</w:t>
            </w:r>
          </w:p>
        </w:tc>
        <w:tc>
          <w:tcPr>
            <w:tcW w:type="dxa" w:w="2161"/>
            <w:shd w:fill="002B5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周次</w:t>
            </w:r>
          </w:p>
        </w:tc>
        <w:tc>
          <w:tcPr>
            <w:tcW w:type="dxa" w:w="2161"/>
            <w:shd w:fill="002B5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主题</w:t>
            </w:r>
          </w:p>
        </w:tc>
        <w:tc>
          <w:tcPr>
            <w:tcW w:type="dxa" w:w="2161"/>
            <w:shd w:fill="002B5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主导维度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8.1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第1周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空间错配Ⅰ——"叙"的启动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叙</w:t>
            </w:r>
          </w:p>
        </w:tc>
      </w:tr>
      <w:tr>
        <w:tc>
          <w:tcPr>
            <w:tcW w:type="dxa" w:w="2161"/>
            <w:shd w:fill="F0F4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8.2</w:t>
            </w:r>
          </w:p>
        </w:tc>
        <w:tc>
          <w:tcPr>
            <w:tcW w:type="dxa" w:w="2161"/>
            <w:shd w:fill="F0F4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第2周</w:t>
            </w:r>
          </w:p>
        </w:tc>
        <w:tc>
          <w:tcPr>
            <w:tcW w:type="dxa" w:w="2161"/>
            <w:shd w:fill="F0F4FA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空间错配Ⅱ——"框"的建立</w:t>
            </w:r>
          </w:p>
        </w:tc>
        <w:tc>
          <w:tcPr>
            <w:tcW w:type="dxa" w:w="2161"/>
            <w:shd w:fill="F0F4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框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8.3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第3周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技术错配Ⅰ——"境"的开启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境</w:t>
            </w:r>
          </w:p>
        </w:tc>
      </w:tr>
      <w:tr>
        <w:tc>
          <w:tcPr>
            <w:tcW w:type="dxa" w:w="2161"/>
            <w:shd w:fill="F0F4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8.4</w:t>
            </w:r>
          </w:p>
        </w:tc>
        <w:tc>
          <w:tcPr>
            <w:tcW w:type="dxa" w:w="2161"/>
            <w:shd w:fill="F0F4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第4周</w:t>
            </w:r>
          </w:p>
        </w:tc>
        <w:tc>
          <w:tcPr>
            <w:tcW w:type="dxa" w:w="2161"/>
            <w:shd w:fill="F0F4FA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技术错配Ⅱ——"境"的深化</w:t>
            </w:r>
          </w:p>
        </w:tc>
        <w:tc>
          <w:tcPr>
            <w:tcW w:type="dxa" w:w="2161"/>
            <w:shd w:fill="F0F4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境→创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8.5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第5周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行为错配Ⅰ——"境"的拓展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境</w:t>
            </w:r>
          </w:p>
        </w:tc>
      </w:tr>
      <w:tr>
        <w:tc>
          <w:tcPr>
            <w:tcW w:type="dxa" w:w="2161"/>
            <w:shd w:fill="F0F4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8.6</w:t>
            </w:r>
          </w:p>
        </w:tc>
        <w:tc>
          <w:tcPr>
            <w:tcW w:type="dxa" w:w="2161"/>
            <w:shd w:fill="F0F4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第6周</w:t>
            </w:r>
          </w:p>
        </w:tc>
        <w:tc>
          <w:tcPr>
            <w:tcW w:type="dxa" w:w="2161"/>
            <w:shd w:fill="F0F4FA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行为错配Ⅱ——框架与场景的叠加</w:t>
            </w:r>
          </w:p>
        </w:tc>
        <w:tc>
          <w:tcPr>
            <w:tcW w:type="dxa" w:w="2161"/>
            <w:shd w:fill="F0F4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框→境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8.7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第7周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人文错配——"境"的升华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境</w:t>
            </w:r>
          </w:p>
        </w:tc>
      </w:tr>
      <w:tr>
        <w:tc>
          <w:tcPr>
            <w:tcW w:type="dxa" w:w="2161"/>
            <w:shd w:fill="F0F4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8.8</w:t>
            </w:r>
          </w:p>
        </w:tc>
        <w:tc>
          <w:tcPr>
            <w:tcW w:type="dxa" w:w="2161"/>
            <w:shd w:fill="F0F4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第8周</w:t>
            </w:r>
          </w:p>
        </w:tc>
        <w:tc>
          <w:tcPr>
            <w:tcW w:type="dxa" w:w="2161"/>
            <w:shd w:fill="F0F4FA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思维整合——"创"的收束</w:t>
            </w:r>
          </w:p>
        </w:tc>
        <w:tc>
          <w:tcPr>
            <w:tcW w:type="dxa" w:w="2161"/>
            <w:shd w:fill="F0F4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1"/>
              </w:rPr>
              <w:t>创</w:t>
            </w:r>
          </w:p>
        </w:tc>
      </w:tr>
    </w:tbl>
    <w:p/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i w:val="0"/>
          <w:color w:val="333333"/>
          <w:sz w:val="22"/>
        </w:rPr>
        <w:t>（每节含：教学目标与框架导入 · 课堂实录 · 教学反思）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26"/>
        </w:rPr>
        <w:t>第九章　效果评价：数据、反思与迭代（~1.5万字）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9.1　评价体系设计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9.1.1　过程性评价：学习行为数据的追踪与解读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9.1.2　终结性评价：开卷案例分析 + 思维重塑报告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9.1.3　多维评价：同行评价 × 自我评价 × 教师评价的三角验证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9.2　教学效果实证分析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9.2.1　学习行为数据呈现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9.2.2　学生三轨产出（论文/设计/教改）的选题分布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9.2.3　与纯讲授法班级的对比分析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9.3　教学反思与框架迭代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9.3.1　四维教学法的优势与适用边界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9.3.2　教学中的失败案例与调整过程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9.3.3　框架从v1.0到当前版本的迭代日志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26"/>
        </w:rPr>
        <w:t>第十章　推广与展望：向其他工程课程的迁移（~1万字）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10.1　四维教学法的普适性论证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10.1.1　迁移到其他工程课程的三个前提条件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10.1.2　可迁移的教学要素清单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10.1.3　不可迁移的独特性边界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10.2　数字门户的可迁移框架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10.2.1　纯静态架构的通用性与模板化方案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10.2.2　部署与维护的标准化指南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10.3　纪实小说作为教育资产的前景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10.3.1　小说云模式的可持续创作机制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10.3.2　向其他学科扩展的可能性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10.3.3　教育叙事出版：一个值得关注的蓝海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4D8C"/>
          <w:sz w:val="23"/>
        </w:rPr>
        <w:t>10.4　结语：教学即研究，课堂即田野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color w:val="002B5C"/>
          <w:sz w:val="26"/>
        </w:rPr>
        <w:t>附录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附录A　场景沉浸脚本全集（6个脚本）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附录B　教学素材母库索引 S001-S021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附录C　中英术语对照表</w:t>
      </w:r>
    </w:p>
    <w:p>
      <w:pPr>
        <w:spacing w:line="360" w:lineRule="auto" w:before="20" w:after="20"/>
        <w:ind w:left="567"/>
      </w:pPr>
      <w:r>
        <w:rPr>
          <w:rFonts w:ascii="宋体" w:hAnsi="宋体" w:eastAsia="宋体"/>
          <w:b w:val="0"/>
          <w:i w:val="0"/>
          <w:color w:val="333333"/>
          <w:sz w:val="22"/>
        </w:rPr>
        <w:t>● 附录D　门户截图目录 SC01-SC20</w:t>
      </w:r>
    </w:p>
    <w:p/>
    <w:p>
      <w:pPr>
        <w:spacing w:before="40" w:after="40"/>
        <w:pBdr>
          <w:bottom w:val="single" w:sz="8" w:space="1" w:color="002B5C"/>
        </w:pBdr>
      </w:pPr>
    </w:p>
    <w:p>
      <w:pPr>
        <w:jc w:val="center"/>
      </w:pPr>
      <w:r>
        <w:rPr>
          <w:rFonts w:ascii="楷体" w:hAnsi="楷体" w:eastAsia="楷体"/>
          <w:b/>
          <w:i w:val="0"/>
          <w:color w:val="002B5C"/>
          <w:sz w:val="24"/>
        </w:rPr>
        <w:t>全稿凡二十万言</w:t>
      </w:r>
    </w:p>
    <w:p/>
    <w:p>
      <w:pPr>
        <w:jc w:val="right"/>
      </w:pPr>
      <w:r>
        <w:rPr>
          <w:rFonts w:ascii="宋体" w:hAnsi="宋体" w:eastAsia="宋体"/>
          <w:b w:val="0"/>
          <w:i w:val="0"/>
          <w:color w:val="004D8C"/>
          <w:sz w:val="20"/>
        </w:rPr>
        <w:t>黄正文 | 成都大学环境工程系 | 二〇二六 初夏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