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TNR" w:hAnsi="TNR"/>
          <w:b/>
          <w:color w:val="1A3A5C"/>
          <w:sz w:val="28"/>
        </w:rPr>
        <w:t>"Narrative-Framework-Scenario-Creation" Four-Dimensional Teaching Method Applied in Graduate Engineering Courses: A Case Study of "Solid Waste Pollution Prevention and Control Technology"</w:t>
      </w:r>
    </w:p>
    <w:p>
      <w:pPr>
        <w:spacing w:before="40" w:after="20"/>
        <w:jc w:val="center"/>
      </w:pPr>
      <w:r>
        <w:rPr>
          <w:rFonts w:ascii="TNR" w:hAnsi="TNR"/>
          <w:color w:val="222222"/>
          <w:sz w:val="24"/>
        </w:rPr>
        <w:t>XIE Zeyu¹, SUN Qing², HUANG Zhengwen²\*</w:t>
      </w:r>
    </w:p>
    <w:p>
      <w:pPr>
        <w:spacing w:before="0" w:after="20"/>
        <w:jc w:val="center"/>
      </w:pPr>
      <w:r>
        <w:rPr>
          <w:rFonts w:ascii="TNR" w:hAnsi="TNR"/>
          <w:color w:val="777777"/>
          <w:sz w:val="20"/>
        </w:rPr>
        <w:t>¹ Shinawatra University, Thailand</w:t>
      </w:r>
    </w:p>
    <w:p>
      <w:pPr>
        <w:spacing w:before="0" w:after="20"/>
        <w:jc w:val="center"/>
      </w:pPr>
      <w:r>
        <w:rPr>
          <w:rFonts w:ascii="TNR" w:hAnsi="TNR"/>
          <w:color w:val="777777"/>
          <w:sz w:val="20"/>
        </w:rPr>
        <w:t>² Department of Environmental Engineering, College of Architecture and Civil Engineering, Chengdu University, Chengdu 610106, China</w:t>
      </w:r>
    </w:p>
    <w:p>
      <w:pPr>
        <w:spacing w:before="0" w:after="120"/>
        <w:jc w:val="center"/>
      </w:pPr>
      <w:r>
        <w:rPr>
          <w:rFonts w:ascii="TNR" w:hAnsi="TNR"/>
          <w:color w:val="777777"/>
          <w:sz w:val="20"/>
        </w:rPr>
        <w:t>* Corresponding Author: HUANG Zhengwen</w:t>
      </w:r>
    </w:p>
    <w:p>
      <w:pPr>
        <w:spacing w:before="200" w:after="40"/>
      </w:pPr>
      <w:r>
        <w:rPr>
          <w:rFonts w:ascii="TNR" w:hAnsi="TNR"/>
          <w:b/>
          <w:color w:val="5B9BD5"/>
          <w:sz w:val="24"/>
        </w:rPr>
        <w:t>Abstract</w:t>
      </w:r>
    </w:p>
    <w:p>
      <w:pPr>
        <w:spacing w:before="20" w:after="40"/>
      </w:pPr>
      <w:r>
        <w:rPr>
          <w:rFonts w:ascii="TNR" w:hAnsi="TNR"/>
          <w:color w:val="222222"/>
          <w:sz w:val="24"/>
        </w:rPr>
        <w:t>To address the disconnection between cases and real-world contexts, between analysis and engineering intuition, and between fragmented knowledge and systems thinking in graduate engineering courses, this paper proposes the Narrative-Framework-Scenario-Creation Four-Dimensional Pedagogy (NFSC). This pedagogy uses narrative initiation to trigger learning motivation, framework empowerment to equip students with analytical tools, scenario forging to hone application skills, and creation for application to achieve knowledge transformation. These four dimensions form a progressive advancement in cognitive modes. Using the graduate course "Solid Waste Pollution Prevention and Control Technology" at Chengdu University as a case study, this paper illustrates the practical implementation of the NFSC pedagogy across an eight-week curriculum. Weeks 1–2 use excerpts from the documentary network novel "Longqi Bay" to drive cognition of spatial mismatch. Weeks 3–7 deploy three scenario types—EIA defense meetings, Nudge intervention design, and mock trials—to forge students' ability to apply analytical frameworks under role constraints and incomplete information. Week 8 employs the Five-Dimensional Unified Diagnostic Matrix (FDUDM) and a three-track parallel output system to achieve creative application. The course has concurrently built a zero-configuration learning sub-portal, providing progress tracking and AI-empowered support. Practice demonstrates that the NFSC pedagogy effectively facilitates graduate students' transformation from knowledge recipients into problem solvers with integrated analytical capabilities.</w:t>
      </w:r>
    </w:p>
    <w:p>
      <w:pPr>
        <w:spacing w:before="40" w:after="120"/>
      </w:pPr>
      <w:r>
        <w:rPr>
          <w:rFonts w:ascii="TNR" w:hAnsi="TNR"/>
          <w:i/>
          <w:color w:val="777777"/>
          <w:sz w:val="22"/>
        </w:rPr>
        <w:t>Keywords:  NFSC Four-Dimensional Pedagogy; engineering education; graduate courses; narrative pedagogy; scenario-based teaching; Mismatch-Repair Framework; solid waste management</w:t>
      </w:r>
    </w:p>
    <w:p>
      <w:pPr>
        <w:spacing w:before="200" w:after="80"/>
      </w:pPr>
      <w:r>
        <w:rPr>
          <w:rFonts w:ascii="TNR" w:hAnsi="TNR"/>
          <w:b/>
          <w:color w:val="1A3A5C"/>
          <w:sz w:val="24"/>
        </w:rPr>
        <w:t>Introduction</w:t>
      </w:r>
    </w:p>
    <w:p>
      <w:pPr>
        <w:spacing w:before="20" w:after="40"/>
      </w:pPr>
      <w:r>
        <w:rPr>
          <w:rFonts w:ascii="TNR" w:hAnsi="TNR"/>
          <w:color w:val="222222"/>
          <w:sz w:val="24"/>
        </w:rPr>
        <w:t>Graduate engineering courses bear the core mission of transforming students from "knowledge recipients" into "problem solvers." However, engineering cases in graduate classrooms often exhibit a "triple disconnection"—cases disconnected from local contexts, analysis disconnected from engineering intuition, and fragmented knowledge points disconnected from systems thinking. Cases in textbooks are "clean problems" that have undergone extensive abstraction and idealization. By contrast, real solid waste management presents "dirty problems." A landfill siting decision involves not only technical geological and hydrological constraints but also social opposition from residents, ambiguous administrative responsibilities across jurisdictional boundaries, and delayed environmental benefit realization over time. The traditional lecture method follows a linear path of "definition → classification → principle → process → case study" to organize instruction. While this approach efficiently transmits knowledge, it struggles to train students in making engineering judgments under multi-dimensional constraints.</w:t>
      </w:r>
    </w:p>
    <w:p>
      <w:pPr>
        <w:spacing w:before="20" w:after="40"/>
      </w:pPr>
      <w:r>
        <w:rPr>
          <w:rFonts w:ascii="TNR" w:hAnsi="TNR"/>
          <w:color w:val="222222"/>
          <w:sz w:val="24"/>
        </w:rPr>
        <w:t>Since 2017, China's engineering education program accreditation has fully aligned with the Washington Accord, making Outcome-Based Education (OBE) the core framework for course design [1]. OBE requires shifting the focus from "what teachers taught" to "what students can do." However, at the operational level, this shift faces a critical bottleneck: how can abstract course objectives be translated into concrete, actionable, week-by-week progressive teaching activity sequences? These objectives include "analyzing multi-dimensional mismatches in solid waste problems," "proposing engineering repair solutions," "integrating engineering ethics and social dimensions," and "developing systems thinking." This bottleneck is not unique to solid waste courses. It represents a common challenge across all graduate engineering courses.</w:t>
      </w:r>
    </w:p>
    <w:p>
      <w:pPr>
        <w:spacing w:before="0" w:after="20"/>
        <w:jc w:val="center"/>
      </w:pPr>
      <w:r>
        <w:rPr>
          <w:rFonts w:ascii="TNR" w:hAnsi="TNR"/>
          <w:color w:val="777777"/>
          <w:sz w:val="20"/>
        </w:rPr>
        <w:t>This paper uses the graduate course "Solid Waste Pollution Prevention and Control Technology" in the Department of Environmental Engineering at Chengdu University as a case study. It systematically presents the theoretical construction and teaching practice of the NFSC pedagogy. This course was developed by the Chengdu University Quality Course Research Group led by Professor Huang Zhengwen. Group members XIE Zeyu (Shinawatra University, doctoral candidate in education) and SUN Qing (Chengdu University) participated in pedagogical design and implementation. The course uses Professor Huang's seven publicly released documentary network novels as its source material repository, the Mismatch-Repair Framework (MRF) as its analytical framework, Scenario Immersion as its classroom organization method, and Creation for Application as its ultimate output orientation. This forms a four-dimensional progressive path: Narrative Initiation → Framework Empowerment → Scenario Forging → Creation for Application.</w:t>
      </w:r>
    </w:p>
    <w:p>
      <w:pPr>
        <w:spacing w:before="200" w:after="80"/>
      </w:pPr>
      <w:r>
        <w:rPr>
          <w:rFonts w:ascii="TNR" w:hAnsi="TNR"/>
          <w:b/>
          <w:color w:val="1A3A5C"/>
          <w:sz w:val="24"/>
        </w:rPr>
        <w:t>1. Theoretical Construction of the NFSC Pedagogy</w:t>
      </w:r>
    </w:p>
    <w:p>
      <w:pPr>
        <w:spacing w:before="20" w:after="40"/>
      </w:pPr>
      <w:r>
        <w:rPr>
          <w:rFonts w:ascii="TNR" w:hAnsi="TNR"/>
          <w:color w:val="222222"/>
          <w:sz w:val="24"/>
        </w:rPr>
        <w:t>The NFSC pedagogy divides the cognitive evolution of the teaching process into four progressive dimensions.</w:t>
      </w:r>
    </w:p>
    <w:p>
      <w:pPr>
        <w:spacing w:before="20" w:after="40"/>
      </w:pPr>
      <w:r>
        <w:rPr>
          <w:rFonts w:ascii="TNR" w:hAnsi="TNR"/>
          <w:color w:val="222222"/>
          <w:sz w:val="24"/>
        </w:rPr>
        <w:t>### 1.1 Narrate (Narrative Initiation)</w:t>
      </w:r>
    </w:p>
    <w:p>
      <w:pPr>
        <w:spacing w:before="20" w:after="40"/>
      </w:pPr>
      <w:r>
        <w:rPr>
          <w:rFonts w:ascii="TNR" w:hAnsi="TNR"/>
          <w:color w:val="222222"/>
          <w:sz w:val="24"/>
        </w:rPr>
        <w:t>"Narrate" (Narrative Initiation) is the first dimension. Its core function is to trigger learning motivation and emotional resonance. In cognitive psychology, human memory for narratives is several times more effective than memory for abstract propositions [2]. Engineering education has long neglected the pedagogical function of narrative. Engineering cases are reduced to "Project background: City X generates Y tons of waste per day, proposes to build an incineration plant with Z tons/day capacity," and then jump directly to technical parameters. After reading such a "case," students neither grasp the significance of the problem nor understand the nature of stakeholder conflicts.</w:t>
      </w:r>
    </w:p>
    <w:p>
      <w:pPr>
        <w:spacing w:before="20" w:after="40"/>
      </w:pPr>
      <w:r>
        <w:rPr>
          <w:rFonts w:ascii="TNR" w:hAnsi="TNR"/>
          <w:color w:val="222222"/>
          <w:sz w:val="24"/>
        </w:rPr>
        <w:t>The "Narrate" dimension in the NFSC pedagogy does not rely on fictional stories. Instead, it uses 21 Instructional Excerpts (numbered S001–S021) extracted from seven documentary network novels by Professor Huang Zhengwen that have been publicly released and copyright-registered—"Longqi Bay," "Qinglong Lake," "Yangliu Dam and Liujia Cove," "Sanduoli Alley," among others. These excerpts document real solid waste management scenarios: land devaluation around landfill sites, technocratic bias in incinerator environmental impact assessments, implementation difficulties of rural waste sorting, and residents' dignity claims in community NIMBY conflicts. Students read "things that actually happened," not "contrived cases."</w:t>
      </w:r>
    </w:p>
    <w:p>
      <w:pPr>
        <w:spacing w:before="20" w:after="40"/>
      </w:pPr>
      <w:r>
        <w:rPr>
          <w:rFonts w:ascii="TNR" w:hAnsi="TNR"/>
          <w:color w:val="222222"/>
          <w:sz w:val="24"/>
        </w:rPr>
        <w:t>### 1.2 Framework (Framework Empowerment)</w:t>
      </w:r>
    </w:p>
    <w:p>
      <w:pPr>
        <w:spacing w:before="20" w:after="40"/>
      </w:pPr>
      <w:r>
        <w:rPr>
          <w:rFonts w:ascii="TNR" w:hAnsi="TNR"/>
          <w:color w:val="222222"/>
          <w:sz w:val="24"/>
        </w:rPr>
        <w:t>"Framework" (Framework Empowerment) is the second dimension. Its core function is to transform the perceptual cognition triggered by narrative into actionable analytical tools. With emotional engagement from stories but without analytical tools, teaching stops at "being moved." The transition from "Narrate" to "Framework" is essentially a leap in the depth of cognitive processing—from "What does this story tell me?" to "What methods do I use to analyze this story?"</w:t>
      </w:r>
    </w:p>
    <w:p>
      <w:pPr>
        <w:spacing w:before="20" w:after="40"/>
      </w:pPr>
      <w:r>
        <w:rPr>
          <w:rFonts w:ascii="TNR" w:hAnsi="TNR"/>
          <w:color w:val="222222"/>
          <w:sz w:val="24"/>
        </w:rPr>
        <w:t>The "Framework" dimension in the NFSC pedagogy constitutes a complete MRF system, comprising six sub-frameworks: Spatial Mismatch Five-Dimensions (Siting Fallacy / Planning Lag / Capacity Imbalance / Transportation Paradox / Boundary Ambiguity); Siting Justice Four-Dimensions (Geological Bearing Capacity / Environmental Carrying Capacity / Social Acceptability / Intergenerational Equity); Technical Mismatch Three-Types (Over-Engineering / Under-Spec High-Demand / Directional Error); Waste Time Three-Dimensions (Process Time / Environmental Benefit Realization Time / Investment Payback Time); Behavioral Mismatch Four-Factors (Cognitive Barrier / Convenience Trap / Social Norm Vacuum / Feedback Delay); EPR Mismatch Three-Sources (Ambiguous Responsibility Definition / Enforcement Cost Shifting / Oversight Failure); and Humanistic Mismatch Three-Dimensions (Distributive Justice Deficiency / Procedural Justice Absence / Recognition Justice Neglect). These six sub-frameworks are integrated through the FDUDM, forming a complete cognitive chain from single-point diagnosis to systemic repair.</w:t>
      </w:r>
    </w:p>
    <w:p>
      <w:pPr>
        <w:spacing w:before="20" w:after="40"/>
      </w:pPr>
      <w:r>
        <w:rPr>
          <w:rFonts w:ascii="TNR" w:hAnsi="TNR"/>
          <w:color w:val="222222"/>
          <w:sz w:val="24"/>
        </w:rPr>
        <w:t>The naming of each framework reflects the epistemological stance of "mismatch"—resource mismatch is a fundamental problem in economics, and spatial mismatch is a classic topic in geography. The NFSC pedagogy transplants "mismatch" from economics and geography into the domain of solid waste management, constructing an analytical system with "diagnosis → repair" as its core logic.</w:t>
      </w:r>
    </w:p>
    <w:p>
      <w:pPr>
        <w:spacing w:before="20" w:after="40"/>
      </w:pPr>
      <w:r>
        <w:rPr>
          <w:rFonts w:ascii="TNR" w:hAnsi="TNR"/>
          <w:color w:val="222222"/>
          <w:sz w:val="24"/>
        </w:rPr>
        <w:t>### 1.3 Scenario (Scenario Forging)</w:t>
      </w:r>
    </w:p>
    <w:p>
      <w:pPr>
        <w:spacing w:before="20" w:after="40"/>
      </w:pPr>
      <w:r>
        <w:rPr>
          <w:rFonts w:ascii="TNR" w:hAnsi="TNR"/>
          <w:color w:val="222222"/>
          <w:sz w:val="24"/>
        </w:rPr>
        <w:t>"Scenario" (Scenario Forging) is the third dimension. Its core function is to forge analytical frameworks in simulated real-world scenarios—students must make professional judgments under role constraints, time pressure, and incomplete information. Situated learning theory holds that knowledge acquisition cannot be separated from its application context [3]. If students only apply frameworks in a "problem-solving" mode—with given data, clearly defined problems, and unique answers—the usability of these frameworks will be substantially compromised when they face the full chain of engineering practice: "problem identification → information gathering → multi-objective trade-off → solution justification."</w:t>
      </w:r>
    </w:p>
    <w:p>
      <w:pPr>
        <w:spacing w:before="20" w:after="40"/>
      </w:pPr>
      <w:r>
        <w:rPr>
          <w:rFonts w:ascii="TNR" w:hAnsi="TNR"/>
          <w:color w:val="222222"/>
          <w:sz w:val="24"/>
        </w:rPr>
        <w:t>The "Scenario" dimension in the NFSC pedagogy encompasses three types of scenario designs. The first is the EIA defense meeting (Week 3). Students role-play as technical proponents, reviewers, and resident representatives, debating the technical applicability of an incineration plant project. The second is the siting hearing (Week 2). Students seek balance between "technically optimal" and "socially most acceptable" solutions. The third is the mock trial (Week 7). Students confront the tension between "procedural legality" and "substantive legitimacy," experiencing the engineer's role in environmental justice issues. Each scenario is equipped with role cards, incident cards, and instructor facilitation guides.</w:t>
      </w:r>
    </w:p>
    <w:p>
      <w:pPr>
        <w:spacing w:before="20" w:after="40"/>
      </w:pPr>
      <w:r>
        <w:rPr>
          <w:rFonts w:ascii="TNR" w:hAnsi="TNR"/>
          <w:color w:val="222222"/>
          <w:sz w:val="24"/>
        </w:rPr>
        <w:t>### 1.4 Create (Creation for Application)</w:t>
      </w:r>
    </w:p>
    <w:p>
      <w:pPr>
        <w:spacing w:before="20" w:after="40"/>
      </w:pPr>
      <w:r>
        <w:rPr>
          <w:rFonts w:ascii="TNR" w:hAnsi="TNR"/>
          <w:color w:val="222222"/>
          <w:sz w:val="24"/>
        </w:rPr>
        <w:t>"Create" (Creation for Application) is the fourth dimension and the ultimate orientation of the NFSC pedagogy. Students are no longer knowledge recipients but producers and appliers of knowledge. The transition from "Scenario" to "Create" signifies a fundamental shift in learning agency. In the first three dimensions, students apply teacher-provided frameworks to analyze teacher-provided cases. In the "Create" dimension, students independently select problems, independently mobilize frameworks, independently construct solutions, and independently justify innovations.</w:t>
      </w:r>
    </w:p>
    <w:p>
      <w:pPr>
        <w:spacing w:before="20" w:after="40"/>
      </w:pPr>
      <w:r>
        <w:rPr>
          <w:rFonts w:ascii="TNR" w:hAnsi="TNR"/>
          <w:color w:val="222222"/>
          <w:sz w:val="24"/>
        </w:rPr>
        <w:t>The NFSC pedagogy designs three parallel tracks in the "Create" dimension. Track A (course paper) requires students to use the FDUDM to analyze a real or hypothetical solid waste problem. Track B (course design) requires students to design a process plan for one of landfill, incineration, or composting facilities and justify its "five-dimensional reasonableness" using the FDUDM. Track C (teaching reform paper) requires students to use their own eight-week learning experience as data to conduct an empirical analysis of the NFSC pedagogy. The common feature across all three tracks is that outputs must demonstrate framework application while also discussing framework limitations—that is, "dimensions you have identified that the framework has not yet covered."</w:t>
      </w:r>
    </w:p>
    <w:p>
      <w:pPr>
        <w:spacing w:before="20" w:after="40"/>
      </w:pPr>
      <w:r>
        <w:rPr>
          <w:rFonts w:ascii="TNR" w:hAnsi="TNR"/>
          <w:color w:val="222222"/>
          <w:sz w:val="24"/>
        </w:rPr>
        <w:t>### 1.5 The Internal Logic of the Four-Dimensional Progression</w:t>
      </w:r>
    </w:p>
    <w:p>
      <w:pPr>
        <w:spacing w:before="20" w:after="40"/>
      </w:pPr>
      <w:r>
        <w:rPr>
          <w:rFonts w:ascii="TNR" w:hAnsi="TNR"/>
          <w:color w:val="222222"/>
          <w:sz w:val="24"/>
        </w:rPr>
        <w:t>The progression across the four dimensions is not merely a temporal sequence but a qualitative transformation in cognitive modes. Narrate → Framework represents the move from perceptual to rational cognition—from "moving you" to "giving you tools." Framework → Scenario represents the move from tools to practice—from "knowing how to analyze" to "applying it in context." Scenario → Create represents the move from practice to creation—from "using others' frameworks" to "making your own judgments." This progressive logic corresponds to an ascending curve through Bloom's taxonomy: Remember → Understand → Apply → Analyze → Evaluate → Create [4]. However, the NFSC pedagogy does not merely cite Bloom's taxonomy to justify itself. It demonstrates through eight weeks of concrete instructional design that when a course enters through "Narrate," climbs via "Framework," forges through "Scenario," and exits through "Create," students undergo a complete closed loop from perceptual cognition to systems thinking.</w:t>
      </w:r>
    </w:p>
    <w:p>
      <w:pPr>
        <w:spacing w:before="200" w:after="80"/>
      </w:pPr>
      <w:r>
        <w:rPr>
          <w:rFonts w:ascii="TNR" w:hAnsi="TNR"/>
          <w:b/>
          <w:color w:val="1A3A5C"/>
          <w:sz w:val="24"/>
        </w:rPr>
        <w:t>2. Implementation of the NFSC Pedagogy in the Solid Waste Course</w:t>
      </w:r>
    </w:p>
    <w:p>
      <w:pPr>
        <w:spacing w:before="20" w:after="40"/>
      </w:pPr>
      <w:r>
        <w:rPr>
          <w:rFonts w:ascii="TNR" w:hAnsi="TNR"/>
          <w:color w:val="222222"/>
          <w:sz w:val="24"/>
        </w:rPr>
        <w:t>### 2.1 Implementing "Narrate" (Week 1): From "Longqi Bay" to Academic Concepts</w:t>
      </w:r>
    </w:p>
    <w:p>
      <w:pPr>
        <w:spacing w:before="20" w:after="40"/>
      </w:pPr>
      <w:r>
        <w:rPr>
          <w:rFonts w:ascii="TNR" w:hAnsi="TNR"/>
          <w:color w:val="222222"/>
          <w:sz w:val="24"/>
        </w:rPr>
        <w:t>The teaching theme for Week 1 is "Spatial Mismatch I: From Waste to Asset." The course begins with Instructional Excerpt S001 from the documentary network novel "Longqi Bay." This excerpt describes land devaluation, well water turning foul, and apricot trees ceasing to bear fruit experienced by residents near a landfill—an old farmer's "tiny plot of land is gone." This narrative uses no academic terminology yet contains a precise academic question: How are the negative externalities of solid waste facilities distributed unfairly across space?</w:t>
      </w:r>
    </w:p>
    <w:p>
      <w:pPr>
        <w:spacing w:before="20" w:after="40"/>
      </w:pPr>
      <w:r>
        <w:rPr>
          <w:rFonts w:ascii="TNR" w:hAnsi="TNR"/>
          <w:color w:val="222222"/>
          <w:sz w:val="24"/>
        </w:rPr>
        <w:t>After reading, students are guided to complete a cognitive leap—from the old farmer's "tiny plot of land" to the concept of "spatial mismatch." Section 1 of Professor Huang Zhengwen's Self-Compiled Lecture Notes introduces the Spatial Mismatch Five-Dimensions framework (Siting Fallacy / Planning Lag / Capacity Imbalance / Transportation Paradox / Boundary Ambiguity). Each dimension is paired with corresponding passages from the novel excerpts as evidential anchors. The teaching emphasis of Week 1 is not on ensuring students master all analytical tools. Rather, it is on establishing the "narrative-concept" connection—allowing students to experience that academic concepts are not arbitrarily defined but abstracted from vivid engineering realities. "Narrate" corresponds to the "Remember" and "Understand" levels in Bloom's taxonomy. However, unlike traditional lecturing, the remembering here carries an emotional imprint—students do not memorize "the definition of spatial mismatch" but rather "why Old Wang's apricot trees stopped bearing fruit."</w:t>
      </w:r>
    </w:p>
    <w:p>
      <w:pPr>
        <w:jc w:val="center"/>
      </w:pPr>
      <w:r>
        <w:drawing>
          <wp:inline xmlns:a="http://schemas.openxmlformats.org/drawingml/2006/main" xmlns:pic="http://schemas.openxmlformats.org/drawingml/2006/picture">
            <wp:extent cx="5029200" cy="4648612"/>
            <wp:docPr id="7" name="Picture 7"/>
            <wp:cNvGraphicFramePr>
              <a:graphicFrameLocks noChangeAspect="1"/>
            </wp:cNvGraphicFramePr>
            <a:graphic>
              <a:graphicData uri="http://schemas.openxmlformats.org/drawingml/2006/picture">
                <pic:pic>
                  <pic:nvPicPr>
                    <pic:cNvPr id="0" name="P1_fig1.png"/>
                    <pic:cNvPicPr/>
                  </pic:nvPicPr>
                  <pic:blipFill>
                    <a:blip r:embed="rId15"/>
                    <a:stretch>
                      <a:fillRect/>
                    </a:stretch>
                  </pic:blipFill>
                  <pic:spPr>
                    <a:xfrm>
                      <a:off x="0" y="0"/>
                      <a:ext cx="5029200" cy="4648612"/>
                    </a:xfrm>
                    <a:prstGeom prst="rect"/>
                  </pic:spPr>
                </pic:pic>
              </a:graphicData>
            </a:graphic>
          </wp:inline>
        </w:drawing>
      </w:r>
    </w:p>
    <w:p>
      <w:pPr>
        <w:spacing w:before="20" w:after="40"/>
      </w:pPr>
      <w:r>
        <w:rPr>
          <w:rFonts w:ascii="TNR" w:hAnsi="TNR"/>
          <w:color w:val="222222"/>
          <w:sz w:val="24"/>
        </w:rPr>
        <w:t>&gt; Fig. 1 Pedagogical positioning of "Narrate" and the Spatial Mismatch Five-Dimensions framework</w:t>
      </w:r>
    </w:p>
    <w:p>
      <w:pPr>
        <w:spacing w:before="20" w:after="40"/>
      </w:pPr>
      <w:r>
        <w:rPr>
          <w:rFonts w:ascii="TNR" w:hAnsi="TNR"/>
          <w:color w:val="222222"/>
          <w:sz w:val="24"/>
        </w:rPr>
        <w:t>### 2.2 Implementing "Framework" (Week 2): From Perception to Tools</w:t>
      </w:r>
    </w:p>
    <w:p>
      <w:pPr>
        <w:spacing w:before="20" w:after="40"/>
      </w:pPr>
      <w:r>
        <w:rPr>
          <w:rFonts w:ascii="TNR" w:hAnsi="TNR"/>
          <w:color w:val="222222"/>
          <w:sz w:val="24"/>
        </w:rPr>
        <w:t>The theme for Week 2 is "Spatial Mismatch II: Spatial Justice in Landfill Siting." Continued narrative (S002–S003: the three-party game at a siting hearing) provides emotional continuity, but the teaching focus has shifted from "being moved by the story" to "mastering analytical tools." Professor Huang proposes the Siting Justice Four-Dimensions framework—Geological Bearing Capacity, Environmental Carrying Capacity, Social Acceptability, and Intergenerational Equity. He argues a core proposition: traditional siting decisions examine only the first two dimensions (technically feasible, environmentally compliant). The latter two are treated as "soft constraints." It is precisely the neglect of these two "soft" dimensions that has produced one project predicament after another—projects that are "technically perfect yet socially impermissible."</w:t>
      </w:r>
    </w:p>
    <w:p>
      <w:pPr>
        <w:spacing w:before="20" w:after="40"/>
      </w:pPr>
      <w:r>
        <w:rPr>
          <w:rFonts w:ascii="TNR" w:hAnsi="TNR"/>
          <w:color w:val="222222"/>
          <w:sz w:val="24"/>
        </w:rPr>
        <w:t>What students experience in this week is a cognitive leap from perception to tools. They must not only "understand the framework" but also re-analyze the Week 1 novel excerpts using this framework. They discover that the content they found "emotionally moving" in Week 1 can now be dissected dimension by dimension across four dimensions. This process validates the function of the framework—it transforms vague impressions into structured, analyzable, and communicable insights.</w:t>
      </w:r>
    </w:p>
    <w:p>
      <w:pPr>
        <w:jc w:val="center"/>
      </w:pPr>
      <w:r>
        <w:drawing>
          <wp:inline xmlns:a="http://schemas.openxmlformats.org/drawingml/2006/main" xmlns:pic="http://schemas.openxmlformats.org/drawingml/2006/picture">
            <wp:extent cx="5029200" cy="4822595"/>
            <wp:docPr id="6" name="Picture 6"/>
            <wp:cNvGraphicFramePr>
              <a:graphicFrameLocks noChangeAspect="1"/>
            </wp:cNvGraphicFramePr>
            <a:graphic>
              <a:graphicData uri="http://schemas.openxmlformats.org/drawingml/2006/picture">
                <pic:pic>
                  <pic:nvPicPr>
                    <pic:cNvPr id="0" name="P1_fig2.png"/>
                    <pic:cNvPicPr/>
                  </pic:nvPicPr>
                  <pic:blipFill>
                    <a:blip r:embed="rId14"/>
                    <a:stretch>
                      <a:fillRect/>
                    </a:stretch>
                  </pic:blipFill>
                  <pic:spPr>
                    <a:xfrm>
                      <a:off x="0" y="0"/>
                      <a:ext cx="5029200" cy="4822595"/>
                    </a:xfrm>
                    <a:prstGeom prst="rect"/>
                  </pic:spPr>
                </pic:pic>
              </a:graphicData>
            </a:graphic>
          </wp:inline>
        </w:drawing>
      </w:r>
    </w:p>
    <w:p>
      <w:pPr>
        <w:spacing w:before="20" w:after="40"/>
      </w:pPr>
      <w:r>
        <w:rPr>
          <w:rFonts w:ascii="TNR" w:hAnsi="TNR"/>
          <w:color w:val="222222"/>
          <w:sz w:val="24"/>
        </w:rPr>
        <w:t>&gt; Fig. 2 Pedagogical positioning of "Framework" and the Siting Justice Four-Dimensions framework</w:t>
      </w:r>
    </w:p>
    <w:p>
      <w:pPr>
        <w:spacing w:before="20" w:after="40"/>
      </w:pPr>
      <w:r>
        <w:rPr>
          <w:rFonts w:ascii="TNR" w:hAnsi="TNR"/>
          <w:color w:val="222222"/>
          <w:sz w:val="24"/>
        </w:rPr>
        <w:t>### 2.3 Forging through "Scenario" (Weeks 3–7): Five-Week Scenario Experiment</w:t>
      </w:r>
    </w:p>
    <w:p>
      <w:pPr>
        <w:spacing w:before="20" w:after="40"/>
      </w:pPr>
      <w:r>
        <w:rPr>
          <w:rFonts w:ascii="TNR" w:hAnsi="TNR"/>
          <w:color w:val="222222"/>
          <w:sz w:val="24"/>
        </w:rPr>
        <w:t>The "Scenario" dimension spans Weeks 3 through 7, covering three sets of instructional content: technical mismatch, behavioral mismatch, and humanistic mismatch. Each week has a specific pedagogical positioning and corresponding scenario design.</w:t>
      </w:r>
    </w:p>
    <w:p>
      <w:pPr>
        <w:spacing w:before="20" w:after="40"/>
      </w:pPr>
      <w:r>
        <w:rPr>
          <w:rFonts w:ascii="TNR" w:hAnsi="TNR"/>
          <w:color w:val="222222"/>
          <w:sz w:val="24"/>
        </w:rPr>
        <w:t>Weeks 3–4 focus on technical mismatch. Week 3 uses an EIA defense meeting as the scenario. Students are divided into groups role-playing as technical proponents, reviewers, and resident representatives, debating the technical applicability of an incineration plant project. The technical side uses a technical applicability matrix to justify equipment selection. The review side questions whether the waste composition assumptions for input align with local realities. The resident side expresses emission concerns in everyday language. These three "languages" collide in the same space. Through role-playing, students experience that technical mismatch occurs not because the technology itself fails but because the gap between technical assumptions and actual conditions was not sufficiently exposed during the design phase.</w:t>
      </w:r>
    </w:p>
    <w:p>
      <w:pPr>
        <w:jc w:val="center"/>
      </w:pPr>
      <w:r>
        <w:drawing>
          <wp:inline xmlns:a="http://schemas.openxmlformats.org/drawingml/2006/main" xmlns:pic="http://schemas.openxmlformats.org/drawingml/2006/picture">
            <wp:extent cx="5029200" cy="4930909"/>
            <wp:docPr id="5" name="Picture 5"/>
            <wp:cNvGraphicFramePr>
              <a:graphicFrameLocks noChangeAspect="1"/>
            </wp:cNvGraphicFramePr>
            <a:graphic>
              <a:graphicData uri="http://schemas.openxmlformats.org/drawingml/2006/picture">
                <pic:pic>
                  <pic:nvPicPr>
                    <pic:cNvPr id="0" name="P1_fig3.png"/>
                    <pic:cNvPicPr/>
                  </pic:nvPicPr>
                  <pic:blipFill>
                    <a:blip r:embed="rId13"/>
                    <a:stretch>
                      <a:fillRect/>
                    </a:stretch>
                  </pic:blipFill>
                  <pic:spPr>
                    <a:xfrm>
                      <a:off x="0" y="0"/>
                      <a:ext cx="5029200" cy="4930909"/>
                    </a:xfrm>
                    <a:prstGeom prst="rect"/>
                  </pic:spPr>
                </pic:pic>
              </a:graphicData>
            </a:graphic>
          </wp:inline>
        </w:drawing>
      </w:r>
    </w:p>
    <w:p>
      <w:pPr>
        <w:spacing w:before="20" w:after="40"/>
      </w:pPr>
      <w:r>
        <w:rPr>
          <w:rFonts w:ascii="TNR" w:hAnsi="TNR"/>
          <w:color w:val="222222"/>
          <w:sz w:val="24"/>
        </w:rPr>
        <w:t>&gt; Fig. 3 Pedagogical positioning of "Scenario" and the Technical Mismatch Three-Types framework</w:t>
      </w:r>
    </w:p>
    <w:p>
      <w:pPr>
        <w:spacing w:before="20" w:after="40"/>
      </w:pPr>
      <w:r>
        <w:rPr>
          <w:rFonts w:ascii="TNR" w:hAnsi="TNR"/>
          <w:color w:val="222222"/>
          <w:sz w:val="24"/>
        </w:rPr>
        <w:t>Weeks 5–6 focus on behavioral mismatch, using S007–S009 from "Yangliu Dam and Liujia Cove" as narrative material. A village implements waste sorting: four-color bins are deployed, promotional slogans cover the walls, and supervisors are on duty—yet three months later, the sorting accuracy rate remains below thirty percent. Students are required to diagnose using the Behavioral Mismatch Four-Factors framework: Is it a Cognitive Barrier (not knowing how to sort), a Convenience Trap (too troublesome), a Social Norm Vacuum (no one else sorts), or Feedback Delay (no visible effect from sorting)? After diagnosis, each group designs a Nudge-theory-based intervention plan.</w:t>
      </w:r>
    </w:p>
    <w:p>
      <w:pPr>
        <w:spacing w:before="20" w:after="40"/>
      </w:pPr>
      <w:r>
        <w:rPr>
          <w:rFonts w:ascii="TNR" w:hAnsi="TNR"/>
          <w:color w:val="222222"/>
          <w:sz w:val="24"/>
        </w:rPr>
        <w:t>Week 7 focuses on humanistic mismatch, upgrading the scenario to a mock trial. Residents of Sanduoli Alley discover their community has been designated as a waste transfer station site only after the public notice period expires—the notice was published in a newspaper's classified section in ant-sized type. Residents block roads in protest. The government claims "the procedure was legal." Residents respond, "We do not accept this." In the mock trial, students represent the plaintiffs (residents), the defendant (government agency), and amicus curiae (technical experts/NGOs), debating under the guidance of the Humanistic Mismatch Three-Dimensions framework (Distributive Justice Deficiency / Procedural Justice Absence / Recognition Justice Neglect).</w:t>
      </w:r>
    </w:p>
    <w:p>
      <w:pPr>
        <w:spacing w:before="20" w:after="40"/>
      </w:pPr>
      <w:r>
        <w:rPr>
          <w:rFonts w:ascii="TNR" w:hAnsi="TNR"/>
          <w:color w:val="222222"/>
          <w:sz w:val="24"/>
        </w:rPr>
        <w:t>The pedagogical objective of this segment is not for students to reach a conclusion of "who is right and who is wrong." Rather, it is for students to understand what an engineer's ethical responsibility is in the gap between "legal" and "legitimate."</w:t>
      </w:r>
    </w:p>
    <w:p>
      <w:pPr>
        <w:jc w:val="center"/>
      </w:pPr>
      <w:r>
        <w:drawing>
          <wp:inline xmlns:a="http://schemas.openxmlformats.org/drawingml/2006/main" xmlns:pic="http://schemas.openxmlformats.org/drawingml/2006/picture">
            <wp:extent cx="5029200" cy="5040278"/>
            <wp:docPr id="4" name="Picture 4"/>
            <wp:cNvGraphicFramePr>
              <a:graphicFrameLocks noChangeAspect="1"/>
            </wp:cNvGraphicFramePr>
            <a:graphic>
              <a:graphicData uri="http://schemas.openxmlformats.org/drawingml/2006/picture">
                <pic:pic>
                  <pic:nvPicPr>
                    <pic:cNvPr id="0" name="P1_fig4.png"/>
                    <pic:cNvPicPr/>
                  </pic:nvPicPr>
                  <pic:blipFill>
                    <a:blip r:embed="rId12"/>
                    <a:stretch>
                      <a:fillRect/>
                    </a:stretch>
                  </pic:blipFill>
                  <pic:spPr>
                    <a:xfrm>
                      <a:off x="0" y="0"/>
                      <a:ext cx="5029200" cy="5040278"/>
                    </a:xfrm>
                    <a:prstGeom prst="rect"/>
                  </pic:spPr>
                </pic:pic>
              </a:graphicData>
            </a:graphic>
          </wp:inline>
        </w:drawing>
      </w:r>
    </w:p>
    <w:p>
      <w:pPr>
        <w:spacing w:before="20" w:after="40"/>
      </w:pPr>
      <w:r>
        <w:rPr>
          <w:rFonts w:ascii="TNR" w:hAnsi="TNR"/>
          <w:color w:val="222222"/>
          <w:sz w:val="24"/>
        </w:rPr>
        <w:t>&gt; Fig. 4 Teaching content of the Humanistic Mismatch Three-Dimensions framework</w:t>
      </w:r>
    </w:p>
    <w:p>
      <w:pPr>
        <w:spacing w:before="20" w:after="40"/>
      </w:pPr>
      <w:r>
        <w:rPr>
          <w:rFonts w:ascii="TNR" w:hAnsi="TNR"/>
          <w:color w:val="222222"/>
          <w:sz w:val="24"/>
        </w:rPr>
        <w:t>### 2.4 Implementing "Create" (Week 8): Five-Dimensional Unification and Three-Track Output</w:t>
      </w:r>
    </w:p>
    <w:p>
      <w:pPr>
        <w:spacing w:before="20" w:after="40"/>
      </w:pPr>
      <w:r>
        <w:rPr>
          <w:rFonts w:ascii="TNR" w:hAnsi="TNR"/>
          <w:color w:val="222222"/>
          <w:sz w:val="24"/>
        </w:rPr>
        <w:t>Week 8 is the endpoint of the NFSC pedagogy—Creation for Application. The teaching focus shifts from "teachers providing frameworks to analyze teacher-provided cases" to "students independently mobilizing frameworks, independently selecting problems, and independently constructing solutions." The instructional content is the FDUDM. This integrates the diagnostic methods of the five dimensions—spatial, technical, behavioral, humanistic, and time—previously taught independently across the first seven weeks into a five-column diagnostic table, training students to analyze cross-dimensional interaction effects.</w:t>
      </w:r>
    </w:p>
    <w:p>
      <w:pPr>
        <w:jc w:val="center"/>
      </w:pPr>
      <w:r>
        <w:drawing>
          <wp:inline xmlns:a="http://schemas.openxmlformats.org/drawingml/2006/main" xmlns:pic="http://schemas.openxmlformats.org/drawingml/2006/picture">
            <wp:extent cx="5029200" cy="5018122"/>
            <wp:docPr id="3" name="Picture 3"/>
            <wp:cNvGraphicFramePr>
              <a:graphicFrameLocks noChangeAspect="1"/>
            </wp:cNvGraphicFramePr>
            <a:graphic>
              <a:graphicData uri="http://schemas.openxmlformats.org/drawingml/2006/picture">
                <pic:pic>
                  <pic:nvPicPr>
                    <pic:cNvPr id="0" name="P1_fig5.png"/>
                    <pic:cNvPicPr/>
                  </pic:nvPicPr>
                  <pic:blipFill>
                    <a:blip r:embed="rId11"/>
                    <a:stretch>
                      <a:fillRect/>
                    </a:stretch>
                  </pic:blipFill>
                  <pic:spPr>
                    <a:xfrm>
                      <a:off x="0" y="0"/>
                      <a:ext cx="5029200" cy="5018122"/>
                    </a:xfrm>
                    <a:prstGeom prst="rect"/>
                  </pic:spPr>
                </pic:pic>
              </a:graphicData>
            </a:graphic>
          </wp:inline>
        </w:drawing>
      </w:r>
    </w:p>
    <w:p>
      <w:pPr>
        <w:spacing w:before="20" w:after="40"/>
      </w:pPr>
      <w:r>
        <w:rPr>
          <w:rFonts w:ascii="TNR" w:hAnsi="TNR"/>
          <w:color w:val="222222"/>
          <w:sz w:val="24"/>
        </w:rPr>
        <w:t>&gt; Fig. 5 Pedagogical positioning of "Create" and the Five-Dimensional Unified Diagnostic Matrix</w:t>
      </w:r>
    </w:p>
    <w:p>
      <w:pPr>
        <w:spacing w:before="20" w:after="40"/>
      </w:pPr>
      <w:r>
        <w:rPr>
          <w:rFonts w:ascii="TNR" w:hAnsi="TNR"/>
          <w:color w:val="222222"/>
          <w:sz w:val="24"/>
        </w:rPr>
        <w:t>Student outputs follow a three-track system. Track A (course paper) requires students to use the FDUDM to analyze a solid waste problem and discuss a "sixth dimension" that the framework has not yet covered. Track B (course design) requires students to select one facility type—landfill, incineration, or composting—design a process plan, and justify the plan's reasonableness using at least three dimensions of the framework. Track C (teaching reform paper) requires students to use their own eight-week learning experience as data to conduct empirical analysis or systematic reflection on the NFSC pedagogy, with mandatory engagement with Professor Huang's texts on the pedagogical philosophy for this course.</w:t>
      </w:r>
    </w:p>
    <w:p>
      <w:pPr>
        <w:jc w:val="center"/>
      </w:pPr>
      <w:r>
        <w:drawing>
          <wp:inline xmlns:a="http://schemas.openxmlformats.org/drawingml/2006/main" xmlns:pic="http://schemas.openxmlformats.org/drawingml/2006/picture">
            <wp:extent cx="5029200" cy="4600606"/>
            <wp:docPr id="2" name="Picture 2"/>
            <wp:cNvGraphicFramePr>
              <a:graphicFrameLocks noChangeAspect="1"/>
            </wp:cNvGraphicFramePr>
            <a:graphic>
              <a:graphicData uri="http://schemas.openxmlformats.org/drawingml/2006/picture">
                <pic:pic>
                  <pic:nvPicPr>
                    <pic:cNvPr id="0" name="P1_fig6.png"/>
                    <pic:cNvPicPr/>
                  </pic:nvPicPr>
                  <pic:blipFill>
                    <a:blip r:embed="rId10"/>
                    <a:stretch>
                      <a:fillRect/>
                    </a:stretch>
                  </pic:blipFill>
                  <pic:spPr>
                    <a:xfrm>
                      <a:off x="0" y="0"/>
                      <a:ext cx="5029200" cy="4600606"/>
                    </a:xfrm>
                    <a:prstGeom prst="rect"/>
                  </pic:spPr>
                </pic:pic>
              </a:graphicData>
            </a:graphic>
          </wp:inline>
        </w:drawing>
      </w:r>
    </w:p>
    <w:p>
      <w:pPr>
        <w:spacing w:before="20" w:after="40"/>
      </w:pPr>
      <w:r>
        <w:rPr>
          <w:rFonts w:ascii="TNR" w:hAnsi="TNR"/>
          <w:color w:val="222222"/>
          <w:sz w:val="24"/>
        </w:rPr>
        <w:t>&gt; Fig. 6 Three-track parallel course completion output system</w:t>
      </w:r>
    </w:p>
    <w:p>
      <w:pPr>
        <w:spacing w:before="20" w:after="40"/>
      </w:pPr>
      <w:r>
        <w:rPr>
          <w:rFonts w:ascii="TNR" w:hAnsi="TNR"/>
          <w:color w:val="222222"/>
          <w:sz w:val="24"/>
        </w:rPr>
        <w:t>The logic behind the three-track design is as follows. Traditional graduate course assessment (a single course paper) assumes student homogeneity—that all students excel at academic writing and prefer theoretical analysis. In reality, the engineering graduate student population is highly heterogeneous. Some lean toward academic research, some toward engineering design, and some are interested in educational research. The three tracks allow different types of students to demonstrate "creative application" in ways that suit them best. Meanwhile, the common underlying requirements shared across all three tracks—applying the FDUDM, marking Methodological Chunks, and discussing framework limitations—ensure unified assessment against OBE course objectives.</w:t>
      </w:r>
    </w:p>
    <w:p>
      <w:pPr>
        <w:spacing w:before="200" w:after="80"/>
      </w:pPr>
      <w:r>
        <w:rPr>
          <w:rFonts w:ascii="TNR" w:hAnsi="TNR"/>
          <w:b/>
          <w:color w:val="1A3A5C"/>
          <w:sz w:val="24"/>
        </w:rPr>
        <w:t>3. Teaching Effectiveness Analysis</w:t>
      </w:r>
    </w:p>
    <w:p>
      <w:pPr>
        <w:spacing w:before="20" w:after="40"/>
      </w:pPr>
      <w:r>
        <w:rPr>
          <w:rFonts w:ascii="TNR" w:hAnsi="TNR"/>
          <w:color w:val="222222"/>
          <w:sz w:val="24"/>
        </w:rPr>
        <w:t>The course has concurrently built a "Learning Garden" learning sub-portal, deployed in a zero-configuration format (pure static HTML + CSS + JS). It provides graduate students with weekly pre-class preview guidance, in-class learning support, post-class assignment requirements, and AI-empowered prompt templates. The sub-portal features a built-in learning progress tracking system based on localStorage. Students can check off corresponding weekly cards upon completing each week's learning, with the progress bar providing real-time feedback.</w:t>
      </w:r>
    </w:p>
    <w:p>
      <w:pPr>
        <w:spacing w:before="20" w:after="40"/>
      </w:pPr>
      <w:r>
        <w:rPr>
          <w:rFonts w:ascii="TNR" w:hAnsi="TNR"/>
          <w:color w:val="222222"/>
          <w:sz w:val="24"/>
        </w:rPr>
        <w:t>Three phenomena are worth noting from the teaching implementation outcomes. First, the visualization of learning progress has a motivating effect on students' sustained engagement. The Eight-Week Learning Plan Grid employs a visual card-grid layout. Each completed week can be checked off with visible progress bar advancement. This design transforms abstract learning tasks into perceptible completion experiences.</w:t>
      </w:r>
    </w:p>
    <w:p>
      <w:pPr>
        <w:jc w:val="center"/>
      </w:pPr>
      <w:r>
        <w:drawing>
          <wp:inline xmlns:a="http://schemas.openxmlformats.org/drawingml/2006/main" xmlns:pic="http://schemas.openxmlformats.org/drawingml/2006/picture">
            <wp:extent cx="5029200" cy="2411186"/>
            <wp:docPr id="1" name="Picture 1"/>
            <wp:cNvGraphicFramePr>
              <a:graphicFrameLocks noChangeAspect="1"/>
            </wp:cNvGraphicFramePr>
            <a:graphic>
              <a:graphicData uri="http://schemas.openxmlformats.org/drawingml/2006/picture">
                <pic:pic>
                  <pic:nvPicPr>
                    <pic:cNvPr id="0" name="P1_fig7.png"/>
                    <pic:cNvPicPr/>
                  </pic:nvPicPr>
                  <pic:blipFill>
                    <a:blip r:embed="rId9"/>
                    <a:stretch>
                      <a:fillRect/>
                    </a:stretch>
                  </pic:blipFill>
                  <pic:spPr>
                    <a:xfrm>
                      <a:off x="0" y="0"/>
                      <a:ext cx="5029200" cy="2411186"/>
                    </a:xfrm>
                    <a:prstGeom prst="rect"/>
                  </pic:spPr>
                </pic:pic>
              </a:graphicData>
            </a:graphic>
          </wp:inline>
        </w:drawing>
      </w:r>
    </w:p>
    <w:p>
      <w:pPr>
        <w:spacing w:before="20" w:after="40"/>
      </w:pPr>
      <w:r>
        <w:rPr>
          <w:rFonts w:ascii="TNR" w:hAnsi="TNR"/>
          <w:color w:val="222222"/>
          <w:sz w:val="24"/>
        </w:rPr>
        <w:t>&gt; Fig. 7 Eight-Week Learning Plan Grid and progress tracking system</w:t>
      </w:r>
    </w:p>
    <w:p>
      <w:pPr>
        <w:spacing w:before="20" w:after="40"/>
      </w:pPr>
      <w:r>
        <w:rPr>
          <w:rFonts w:ascii="TNR" w:hAnsi="TNR"/>
          <w:color w:val="222222"/>
          <w:sz w:val="24"/>
        </w:rPr>
        <w:t>Second, the distribution of students' three-track topic choices in Week 8 final outputs exhibited clear dispersion. Not all students chose the "safest" course paper option. Students choosing course design and teaching reform papers each accounted for certain proportions. Third, some students offered critical suggestions about the framework in their course papers. For example, one student argued that the Spatial Mismatch Five-Dimensions lacked an "institutional space" dimension, referring to institutional mismatches across administrative boundaries. Such feedback is precisely what the "Create" dimension encourages. Questioning the framework while applying it is a key indicator of whether students have truly internalized analytical thinking.</w:t>
      </w:r>
    </w:p>
    <w:p>
      <w:pPr>
        <w:spacing w:before="20" w:after="40"/>
      </w:pPr>
      <w:r>
        <w:rPr>
          <w:rFonts w:ascii="TNR" w:hAnsi="TNR"/>
          <w:color w:val="222222"/>
          <w:sz w:val="24"/>
        </w:rPr>
        <w:t>It should be noted that the current teaching effectiveness data primarily derive from a single round of small-sample teaching practice. Multi-round iterations and controlled experimental designs have not yet been completed. The statistical significance of the related conclusions requires verification through subsequent research.</w:t>
      </w:r>
    </w:p>
    <w:p>
      <w:pPr>
        <w:spacing w:before="200" w:after="80"/>
      </w:pPr>
      <w:r>
        <w:rPr>
          <w:rFonts w:ascii="TNR" w:hAnsi="TNR"/>
          <w:b/>
          <w:color w:val="1A3A5C"/>
          <w:sz w:val="24"/>
        </w:rPr>
        <w:t>4. Discussion</w:t>
      </w:r>
    </w:p>
    <w:p>
      <w:pPr>
        <w:spacing w:before="20" w:after="40"/>
      </w:pPr>
      <w:r>
        <w:rPr>
          <w:rFonts w:ascii="TNR" w:hAnsi="TNR"/>
          <w:color w:val="222222"/>
          <w:sz w:val="24"/>
        </w:rPr>
        <w:t>### 4.1 Generalizability of the NFSC Pedagogy</w:t>
      </w:r>
    </w:p>
    <w:p>
      <w:pPr>
        <w:spacing w:before="20" w:after="40"/>
      </w:pPr>
      <w:r>
        <w:rPr>
          <w:rFonts w:ascii="TNR" w:hAnsi="TNR"/>
          <w:color w:val="222222"/>
          <w:sz w:val="24"/>
        </w:rPr>
        <w:t>Can the NFSC pedagogy be transferred to other engineering courses? From a methodological perspective, three prerequisites exist for such transfer. First, the course requires a "narrativizable" source material repository. This need not consist of already-published documentary network novels but must include authentic, emotionally compelling engineering case records. Second, the course's core knowledge system must be abstractable into one or more "analytical frameworks"—the framework serves as the pivot for transforming narrative into analysis. Third, instructors must be capable of designing and facilitating "scenario teaching"—this is the most demanding aspect of the NFSC pedagogy in terms of instructor competence. It should be noted that the pedagogical cost of using documentary network novels as narrative materials—including writing, publishing, excerpting, and instructional design—is high. This is a constraint that the pedagogy's dissemination must honestly confront.</w:t>
      </w:r>
    </w:p>
    <w:p>
      <w:pPr>
        <w:spacing w:before="20" w:after="40"/>
      </w:pPr>
      <w:r>
        <w:rPr>
          <w:rFonts w:ascii="TNR" w:hAnsi="TNR"/>
          <w:color w:val="222222"/>
          <w:sz w:val="24"/>
        </w:rPr>
        <w:t>Taking the "Framework" dimension as an example, the MRF was originally developed by Professor Huang based on the characteristics of solid waste management. However, "mismatch" as an epistemological stance has applicability across engineering fields. In water resources engineering, spatial mismatch and institutional mismatch in water allocation could be analyzed. In transportation engineering, behavioral mismatch and demand mismatch in road network planning could be examined. Both can adopt a similar "diagnosis → repair" analytical pathway. However, the specific dimensions of the framework must be reconstructed by domain experts according to disciplinary characteristics and cannot be directly transplanted.</w:t>
      </w:r>
    </w:p>
    <w:p>
      <w:pPr>
        <w:spacing w:before="20" w:after="40"/>
      </w:pPr>
      <w:r>
        <w:rPr>
          <w:rFonts w:ascii="TNR" w:hAnsi="TNR"/>
          <w:color w:val="222222"/>
          <w:sz w:val="24"/>
        </w:rPr>
        <w:t>### 4.2 Limitations</w:t>
      </w:r>
    </w:p>
    <w:p>
      <w:pPr>
        <w:spacing w:before="20" w:after="40"/>
      </w:pPr>
      <w:r>
        <w:rPr>
          <w:rFonts w:ascii="TNR" w:hAnsi="TNR"/>
          <w:color w:val="222222"/>
          <w:sz w:val="24"/>
        </w:rPr>
        <w:t>This study has the following limitations. First, the assessment of teaching effectiveness currently relies primarily on teaching observation and student output analysis. It lacks rigorous experimental design—such as randomized controlled trials—and cannot rule out the "novelty effect" of a new teaching method. Second, the NFSC pedagogy's hour allocation in the course—Narrate 1 week, Framework 1 week, Scenario 5 weeks, Create 1 week—represents an empirical arrangement based on the eight-week teaching cycle of the solid waste course. Whether this distribution ratio is optimal requires further comparative research. Third, although the teaching effectiveness of documentary network novels as narrative materials shows positive signals in student feedback, whether a causal relationship exists between "novels moving students" and "students therefore learning better" still requires more systematic empirical testing. Fourth, the usage data from the learning sub-portal currently reflect initial usage patterns. Longer-term usage patterns and retention rates require continued tracking.</w:t>
      </w:r>
    </w:p>
    <w:p>
      <w:pPr>
        <w:spacing w:before="200" w:after="80"/>
      </w:pPr>
      <w:r>
        <w:rPr>
          <w:rFonts w:ascii="TNR" w:hAnsi="TNR"/>
          <w:b/>
          <w:color w:val="1A3A5C"/>
          <w:sz w:val="24"/>
        </w:rPr>
        <w:t>5. Conclusion</w:t>
      </w:r>
    </w:p>
    <w:p>
      <w:pPr>
        <w:spacing w:before="20" w:after="40"/>
      </w:pPr>
      <w:r>
        <w:rPr>
          <w:rFonts w:ascii="TNR" w:hAnsi="TNR"/>
          <w:color w:val="222222"/>
          <w:sz w:val="24"/>
        </w:rPr>
        <w:t>The NFSC pedagogy provides a complete teaching pathway from "emotional triggering" to "creation for application" for graduate engineering courses. The progression across the four dimensions is not a simple sequential arrangement of teaching steps but a qualitative transformation in cognitive modes. Narrate opens the door to cognition through stories. Framework empowers cognition through analytical tools. Scenario forges cognitive resilience through scenario-based refinement. Create verifies cognitive achievement through autonomous output.</w:t>
      </w:r>
    </w:p>
    <w:p>
      <w:pPr>
        <w:spacing w:before="20" w:after="40"/>
      </w:pPr>
      <w:r>
        <w:rPr>
          <w:rFonts w:ascii="TNR" w:hAnsi="TNR"/>
          <w:color w:val="222222"/>
          <w:sz w:val="24"/>
        </w:rPr>
        <w:t>In the eight-week teaching practice of "Solid Waste Pollution Prevention and Control Technology," the NFSC pedagogy—driven by the Documentary Novel Cloud, six sub-frameworks of the MRF, and three types of scenario design—achieved the following transformations. Students moved from "memorizing solid waste classifications and treatment processes" to "diagnosing a city's solid waste governance problems using the five-dimensional framework of space, technology, behavior, humanities, and time." They progressed from "listening to the teacher present cases" to "playing the role of an engineer making ethical decisions in a mock trial." They advanced from "submitting a single course paper" to "selecting the most suitable track among three options to complete a creative output."</w:t>
      </w:r>
    </w:p>
    <w:p>
      <w:pPr>
        <w:spacing w:before="20" w:after="40"/>
      </w:pPr>
      <w:r>
        <w:rPr>
          <w:rFonts w:ascii="TNR" w:hAnsi="TNR"/>
          <w:color w:val="222222"/>
          <w:sz w:val="24"/>
        </w:rPr>
        <w:t>The conclusions of this paper are based on the practice of a single course within a single teaching cycle. The NFSC pedagogy's generalizability in engineering education, the framework's cross-disciplinary transferability, and the long-term tracking of teaching effectiveness all await validation through teaching practice across more courses, more institutions, and longer cycles. Related teaching resources—including the course portal, learning sub-portal, content constitution, and syllabus—are all publicly available online. Peer critique and exchange are welcome.</w:t>
      </w:r>
    </w:p>
    <w:p>
      <w:pPr>
        <w:spacing w:before="280" w:after="120"/>
      </w:pPr>
      <w:r>
        <w:rPr>
          <w:rFonts w:ascii="TNR" w:hAnsi="TNR"/>
          <w:b/>
          <w:color w:val="5B9BD5"/>
          <w:sz w:val="24"/>
        </w:rPr>
        <w:t>References</w:t>
      </w:r>
    </w:p>
    <w:p>
      <w:pPr>
        <w:spacing w:before="20" w:after="20"/>
      </w:pPr>
      <w:r>
        <w:rPr>
          <w:rFonts w:ascii="TNR" w:hAnsi="TNR"/>
          <w:color w:val="222222"/>
          <w:sz w:val="22"/>
        </w:rPr>
        <w:t>[1] China Engineering Education Accreditation Association. Engineering Education Accreditation Standards (2024 Edition) [Z]. 2024.</w:t>
      </w:r>
    </w:p>
    <w:p>
      <w:pPr>
        <w:spacing w:before="20" w:after="20"/>
      </w:pPr>
      <w:r>
        <w:rPr>
          <w:rFonts w:ascii="TNR" w:hAnsi="TNR"/>
          <w:color w:val="222222"/>
          <w:sz w:val="22"/>
        </w:rPr>
        <w:t>[2] BRUNER J. Actual Minds, Possible Worlds [M]. Cambridge: Harvard University Press, 1986.</w:t>
      </w:r>
    </w:p>
    <w:p>
      <w:pPr>
        <w:spacing w:before="20" w:after="20"/>
      </w:pPr>
      <w:r>
        <w:rPr>
          <w:rFonts w:ascii="TNR" w:hAnsi="TNR"/>
          <w:color w:val="222222"/>
          <w:sz w:val="22"/>
        </w:rPr>
        <w:t>[3] LAVE J, WENGER E. Situated Learning: Legitimate Peripheral Participation [M]. Cambridge: Cambridge University Press, 1991.</w:t>
      </w:r>
    </w:p>
    <w:p>
      <w:pPr>
        <w:spacing w:before="20" w:after="20"/>
      </w:pPr>
      <w:r>
        <w:rPr>
          <w:rFonts w:ascii="TNR" w:hAnsi="TNR"/>
          <w:color w:val="222222"/>
          <w:sz w:val="22"/>
        </w:rPr>
        <w:t>[4] ANDERSON L W, KRATHWOHL D R. A Taxonomy for Learning, Teaching, and Assessing: A Revision of Bloom's Taxonomy of Educational Objectives [M]. New York: Longman, 2001.</w:t>
      </w:r>
    </w:p>
    <w:p>
      <w:pPr>
        <w:spacing w:before="20" w:after="20"/>
      </w:pPr>
      <w:r>
        <w:rPr>
          <w:rFonts w:ascii="TNR" w:hAnsi="TNR"/>
          <w:color w:val="222222"/>
          <w:sz w:val="22"/>
        </w:rPr>
        <w:t>[5] HUANG Zhengwen. Inclusive Education Consulting: Secrets to Changing Destiny through Reading Series—Documentary Network Novels (7 volumes, S001–S021 Instructional Excerpts) [M/OL]. QQ Reading / 17K Literature.</w:t>
      </w:r>
    </w:p>
    <w:p>
      <w:pPr>
        <w:spacing w:before="20" w:after="20"/>
      </w:pPr>
      <w:r>
        <w:rPr>
          <w:rFonts w:ascii="TNR" w:hAnsi="TNR"/>
          <w:color w:val="222222"/>
          <w:sz w:val="22"/>
        </w:rPr>
        <w:t>[6] HUANG Zhengwen. Self-Compiled Lecture Notes for Graduate Course: Solid Waste Pollution Prevention and Control Technology (2025 Edition) [Z]. Chengdu University, 2025.</w:t>
      </w:r>
    </w:p>
    <w:p>
      <w:pPr>
        <w:spacing w:before="20" w:after="20"/>
      </w:pPr>
      <w:r>
        <w:rPr>
          <w:rFonts w:ascii="TNR" w:hAnsi="TNR"/>
          <w:color w:val="222222"/>
          <w:sz w:val="22"/>
        </w:rPr>
        <w:t>[7] HUANG Zhengwen. Quality Course Demonstration Portal for Graduate Course: Solid Waste Pollution Prevention and Control Technology [EB/OL]. https://zhengwen69.github.io/cdu-gufei-web-demo/, 2026.</w:t>
      </w:r>
    </w:p>
    <w:p>
      <w:pPr>
        <w:spacing w:before="20" w:after="20"/>
      </w:pPr>
      <w:r>
        <w:rPr>
          <w:rFonts w:ascii="TNR" w:hAnsi="TNR"/>
          <w:color w:val="222222"/>
          <w:sz w:val="22"/>
        </w:rPr>
        <w:t>---</w:t>
      </w:r>
    </w:p>
    <w:p>
      <w:pPr>
        <w:spacing w:before="20" w:after="20"/>
      </w:pPr>
      <w:r>
        <w:rPr>
          <w:rFonts w:ascii="TNR" w:hAnsi="TNR"/>
          <w:color w:val="222222"/>
          <w:sz w:val="22"/>
        </w:rPr>
        <w:t>*Received: 2026-05-25 &amp;nbsp;&amp;nbsp;&amp;nbsp;&amp;nbsp; Revised: TBD*</w:t>
      </w:r>
    </w:p>
    <w:p>
      <w:pPr>
        <w:spacing w:before="20" w:after="20"/>
      </w:pPr>
      <w:r>
        <w:rPr>
          <w:rFonts w:ascii="TNR" w:hAnsi="TNR"/>
          <w:color w:val="222222"/>
          <w:sz w:val="22"/>
        </w:rPr>
        <w:t>*Funding: Chengdu University Quality Course Construction Project*</w:t>
      </w:r>
    </w:p>
    <w:p>
      <w:pPr>
        <w:spacing w:before="20" w:after="20"/>
      </w:pPr>
      <w:r>
        <w:rPr>
          <w:rFonts w:ascii="TNR" w:hAnsi="TNR"/>
          <w:color w:val="222222"/>
          <w:sz w:val="22"/>
        </w:rPr>
        <w:t>*Author biography: HUANG Zhengwen (19XX–), male, professor, master's supervisor. Research area: Inclusive education in resources and environment. E-mail: xxxx@cdu.edu.cn*</w:t>
      </w:r>
    </w:p>
    <w:p>
      <w:pPr>
        <w:spacing w:before="20" w:after="20"/>
      </w:pPr>
      <w:r>
        <w:rPr>
          <w:rFonts w:ascii="TNR" w:hAnsi="TNR"/>
          <w:color w:val="222222"/>
          <w:sz w:val="22"/>
        </w:rPr>
        <w:t>*Conflict of interest statement: HUANG Zhengwen is an editorial board member of Journal of Chengdu University (Natural Science Edition).*</w:t>
      </w:r>
    </w:p>
    <w:p>
      <w:r>
        <w:br w:type="page"/>
      </w:r>
    </w:p>
    <w:p>
      <w:pPr>
        <w:spacing w:before="400" w:after="240"/>
        <w:jc w:val="center"/>
      </w:pPr>
      <w:r>
        <w:rPr>
          <w:rFonts w:ascii="TNR" w:hAnsi="TNR"/>
          <w:b/>
          <w:color w:val="1A3A5C"/>
          <w:sz w:val="28"/>
        </w:rPr>
        <w:t>SUBMISSION INFORMATION</w:t>
      </w:r>
    </w:p>
    <w:p>
      <w:pPr>
        <w:spacing w:before="40" w:after="40"/>
      </w:pPr>
      <w:r>
        <w:rPr>
          <w:rFonts w:ascii="Times New Roman" w:hAnsi="Times New Roman"/>
          <w:b/>
          <w:color w:val="5B9BD5"/>
          <w:sz w:val="22"/>
        </w:rPr>
        <w:t xml:space="preserve">TARGET JOURNAL (PRIMARY): </w:t>
      </w:r>
      <w:r>
        <w:rPr>
          <w:rFonts w:ascii="Times New Roman" w:hAnsi="Times New Roman"/>
          <w:color w:val="222222"/>
          <w:sz w:val="22"/>
        </w:rPr>
        <w:t>Asian Journal of University Education (AJUE)</w:t>
      </w:r>
    </w:p>
    <w:p>
      <w:pPr>
        <w:spacing w:before="40" w:after="40"/>
      </w:pPr>
      <w:r>
        <w:rPr>
          <w:rFonts w:ascii="Times New Roman" w:hAnsi="Times New Roman"/>
          <w:b/>
          <w:color w:val="5B9BD5"/>
          <w:sz w:val="22"/>
        </w:rPr>
        <w:t xml:space="preserve">Country: </w:t>
      </w:r>
      <w:r>
        <w:rPr>
          <w:rFonts w:ascii="Times New Roman" w:hAnsi="Times New Roman"/>
          <w:color w:val="222222"/>
          <w:sz w:val="22"/>
        </w:rPr>
        <w:t>Malaysia</w:t>
      </w:r>
    </w:p>
    <w:p>
      <w:pPr>
        <w:spacing w:before="40" w:after="40"/>
      </w:pPr>
      <w:r>
        <w:rPr>
          <w:rFonts w:ascii="Times New Roman" w:hAnsi="Times New Roman"/>
          <w:b/>
          <w:color w:val="5B9BD5"/>
          <w:sz w:val="22"/>
        </w:rPr>
        <w:t xml:space="preserve">Publisher: </w:t>
      </w:r>
      <w:r>
        <w:rPr>
          <w:rFonts w:ascii="Times New Roman" w:hAnsi="Times New Roman"/>
          <w:color w:val="222222"/>
          <w:sz w:val="22"/>
        </w:rPr>
        <w:t>UiTM Press, Universiti Teknologi MARA</w:t>
      </w:r>
    </w:p>
    <w:p>
      <w:pPr>
        <w:spacing w:before="40" w:after="40"/>
      </w:pPr>
      <w:r>
        <w:rPr>
          <w:rFonts w:ascii="Times New Roman" w:hAnsi="Times New Roman"/>
          <w:b/>
          <w:color w:val="5B9BD5"/>
          <w:sz w:val="22"/>
        </w:rPr>
        <w:t xml:space="preserve">ISSN: </w:t>
      </w:r>
      <w:r>
        <w:rPr>
          <w:rFonts w:ascii="Times New Roman" w:hAnsi="Times New Roman"/>
          <w:color w:val="222222"/>
          <w:sz w:val="22"/>
        </w:rPr>
        <w:t>2600-9749</w:t>
      </w:r>
    </w:p>
    <w:p>
      <w:pPr>
        <w:spacing w:before="40" w:after="40"/>
      </w:pPr>
      <w:r>
        <w:rPr>
          <w:rFonts w:ascii="Times New Roman" w:hAnsi="Times New Roman"/>
          <w:b/>
          <w:color w:val="5B9BD5"/>
          <w:sz w:val="22"/>
        </w:rPr>
        <w:t xml:space="preserve">Scopus Quartile: </w:t>
      </w:r>
      <w:r>
        <w:rPr>
          <w:rFonts w:ascii="Times New Roman" w:hAnsi="Times New Roman"/>
          <w:color w:val="222222"/>
          <w:sz w:val="22"/>
        </w:rPr>
        <w:t>Q3</w:t>
      </w:r>
    </w:p>
    <w:p>
      <w:pPr>
        <w:spacing w:before="40" w:after="40"/>
      </w:pPr>
      <w:r>
        <w:rPr>
          <w:rFonts w:ascii="Times New Roman" w:hAnsi="Times New Roman"/>
          <w:b/>
          <w:color w:val="5B9BD5"/>
          <w:sz w:val="22"/>
        </w:rPr>
        <w:t xml:space="preserve">Indexing: </w:t>
      </w:r>
      <w:r>
        <w:rPr>
          <w:rFonts w:ascii="Times New Roman" w:hAnsi="Times New Roman"/>
          <w:color w:val="222222"/>
          <w:sz w:val="22"/>
        </w:rPr>
        <w:t>Scopus, ASEAN Citation Index, MyCite</w:t>
      </w:r>
    </w:p>
    <w:p>
      <w:pPr>
        <w:spacing w:before="40" w:after="40"/>
      </w:pPr>
      <w:r>
        <w:rPr>
          <w:rFonts w:ascii="Times New Roman" w:hAnsi="Times New Roman"/>
          <w:b/>
          <w:color w:val="5B9BD5"/>
          <w:sz w:val="22"/>
        </w:rPr>
        <w:t xml:space="preserve">Submission URL: </w:t>
      </w:r>
      <w:r>
        <w:rPr>
          <w:rFonts w:ascii="Times New Roman" w:hAnsi="Times New Roman"/>
          <w:color w:val="222222"/>
          <w:sz w:val="22"/>
        </w:rPr>
        <w:t>https://myjms.mohe.gov.my/index.php/AJUE/</w:t>
      </w:r>
    </w:p>
    <w:p>
      <w:pPr>
        <w:spacing w:before="40" w:after="40"/>
      </w:pPr>
      <w:r>
        <w:rPr>
          <w:rFonts w:ascii="Times New Roman" w:hAnsi="Times New Roman"/>
          <w:b/>
          <w:color w:val="5B9BD5"/>
          <w:sz w:val="22"/>
        </w:rPr>
        <w:t xml:space="preserve">Reference Style: </w:t>
      </w:r>
      <w:r>
        <w:rPr>
          <w:rFonts w:ascii="Times New Roman" w:hAnsi="Times New Roman"/>
          <w:color w:val="222222"/>
          <w:sz w:val="22"/>
        </w:rPr>
        <w:t>APA 7th</w:t>
      </w:r>
    </w:p>
    <w:p>
      <w:pPr>
        <w:spacing w:before="40" w:after="40"/>
      </w:pPr>
      <w:r>
        <w:rPr>
          <w:rFonts w:ascii="Times New Roman" w:hAnsi="Times New Roman"/>
          <w:b/>
          <w:color w:val="5B9BD5"/>
          <w:sz w:val="22"/>
        </w:rPr>
        <w:t xml:space="preserve">Line Spacing: </w:t>
      </w:r>
      <w:r>
        <w:rPr>
          <w:rFonts w:ascii="Times New Roman" w:hAnsi="Times New Roman"/>
          <w:color w:val="222222"/>
          <w:sz w:val="22"/>
        </w:rPr>
        <w:t>double</w:t>
      </w:r>
    </w:p>
    <w:p>
      <w:pPr>
        <w:spacing w:before="40" w:after="40"/>
      </w:pPr>
      <w:r>
        <w:rPr>
          <w:rFonts w:ascii="Times New Roman" w:hAnsi="Times New Roman"/>
          <w:b/>
          <w:color w:val="5B9BD5"/>
          <w:sz w:val="22"/>
        </w:rPr>
        <w:t xml:space="preserve">Abstract: </w:t>
      </w:r>
      <w:r>
        <w:rPr>
          <w:rFonts w:ascii="Times New Roman" w:hAnsi="Times New Roman"/>
          <w:color w:val="222222"/>
          <w:sz w:val="22"/>
        </w:rPr>
        <w:t>200-250 words</w:t>
      </w:r>
    </w:p>
    <w:p>
      <w:pPr>
        <w:spacing w:before="40" w:after="40"/>
      </w:pPr>
      <w:r>
        <w:rPr>
          <w:rFonts w:ascii="Times New Roman" w:hAnsi="Times New Roman"/>
          <w:b/>
          <w:color w:val="5B9BD5"/>
          <w:sz w:val="22"/>
        </w:rPr>
        <w:t xml:space="preserve">Keywords: </w:t>
      </w:r>
      <w:r>
        <w:rPr>
          <w:rFonts w:ascii="Times New Roman" w:hAnsi="Times New Roman"/>
          <w:color w:val="222222"/>
          <w:sz w:val="22"/>
        </w:rPr>
        <w:t>5-8</w:t>
      </w:r>
    </w:p>
    <w:p>
      <w:pPr>
        <w:spacing w:before="40" w:after="40"/>
      </w:pPr>
      <w:r>
        <w:rPr>
          <w:rFonts w:ascii="Times New Roman" w:hAnsi="Times New Roman"/>
          <w:b/>
          <w:color w:val="5B9BD5"/>
          <w:sz w:val="22"/>
        </w:rPr>
        <w:t xml:space="preserve">Review Type: </w:t>
      </w:r>
      <w:r>
        <w:rPr>
          <w:rFonts w:ascii="Times New Roman" w:hAnsi="Times New Roman"/>
          <w:color w:val="222222"/>
          <w:sz w:val="22"/>
        </w:rPr>
        <w:t>Single-blind</w:t>
      </w:r>
    </w:p>
    <w:p>
      <w:pPr>
        <w:spacing w:before="40" w:after="40"/>
      </w:pPr>
      <w:r>
        <w:rPr>
          <w:rFonts w:ascii="Times New Roman" w:hAnsi="Times New Roman"/>
          <w:b/>
          <w:color w:val="5B9BD5"/>
          <w:sz w:val="22"/>
        </w:rPr>
        <w:t xml:space="preserve">APC: </w:t>
      </w:r>
      <w:r>
        <w:rPr>
          <w:rFonts w:ascii="Times New Roman" w:hAnsi="Times New Roman"/>
          <w:color w:val="222222"/>
          <w:sz w:val="22"/>
        </w:rPr>
        <w:t>Free (UiTM-funded)</w:t>
      </w:r>
    </w:p>
    <w:p>
      <w:pPr>
        <w:spacing w:before="40" w:after="40"/>
      </w:pPr>
      <w:r>
        <w:rPr>
          <w:rFonts w:ascii="Times New Roman" w:hAnsi="Times New Roman"/>
          <w:b/>
          <w:color w:val="5B9BD5"/>
          <w:sz w:val="22"/>
        </w:rPr>
        <w:t xml:space="preserve">Frequency: </w:t>
      </w:r>
      <w:r>
        <w:rPr>
          <w:rFonts w:ascii="Times New Roman" w:hAnsi="Times New Roman"/>
          <w:color w:val="222222"/>
          <w:sz w:val="22"/>
        </w:rPr>
        <w:t>6 issues/year</w:t>
      </w:r>
    </w:p>
    <w:p>
      <w:pPr>
        <w:spacing w:before="280" w:after="80"/>
      </w:pPr>
      <w:r>
        <w:rPr>
          <w:rFonts w:ascii="TNR" w:hAnsi="TNR"/>
          <w:color w:val="222222"/>
          <w:sz w:val="12"/>
        </w:rPr>
      </w:r>
    </w:p>
    <w:p>
      <w:pPr>
        <w:spacing w:before="200" w:after="40"/>
      </w:pPr>
      <w:r>
        <w:rPr>
          <w:rFonts w:ascii="TNR" w:hAnsi="TNR"/>
          <w:b/>
          <w:color w:val="5B9BD5"/>
          <w:sz w:val="24"/>
        </w:rPr>
        <w:t>BACKUP JOURNAL</w:t>
      </w:r>
    </w:p>
    <w:p>
      <w:r>
        <w:rPr>
          <w:color w:val="222222"/>
          <w:sz w:val="22"/>
        </w:rPr>
        <w:t>Journal of Education and Learning (EduLearn) (Indonesia)</w:t>
      </w:r>
    </w:p>
    <w:p>
      <w:pPr>
        <w:spacing w:before="0" w:after="80"/>
      </w:pPr>
      <w:r>
        <w:rPr>
          <w:rFonts w:ascii="TNR" w:hAnsi="TNR"/>
          <w:color w:val="777777"/>
          <w:sz w:val="20"/>
        </w:rPr>
        <w:t>URL: https://edulearn.intelektual.org/</w:t>
      </w:r>
    </w:p>
    <w:p>
      <w:pPr>
        <w:spacing w:before="280" w:after="80"/>
      </w:pPr>
      <w:r>
        <w:rPr>
          <w:rFonts w:ascii="TNR" w:hAnsi="TNR"/>
          <w:color w:val="222222"/>
          <w:sz w:val="12"/>
        </w:rPr>
      </w:r>
    </w:p>
    <w:p>
      <w:pPr>
        <w:spacing w:before="200" w:after="40"/>
      </w:pPr>
      <w:r>
        <w:rPr>
          <w:rFonts w:ascii="TNR" w:hAnsi="TNR"/>
          <w:b/>
          <w:color w:val="5B9BD5"/>
          <w:sz w:val="24"/>
        </w:rPr>
        <w:t>SUBMISSION NOTES</w:t>
      </w:r>
    </w:p>
    <w:p>
      <w:pPr>
        <w:spacing w:before="0" w:after="40"/>
      </w:pPr>
      <w:r>
        <w:rPr>
          <w:rFonts w:ascii="TNR" w:hAnsi="TNR"/>
          <w:color w:val="777777"/>
          <w:sz w:val="20"/>
        </w:rPr>
        <w:t>- Authors listed as: XIE Zeyu (Shinawatra University), Co-author (Chengdu University), HUANG Zhengwen* (Corresponding Author, Chengdu University)</w:t>
      </w:r>
    </w:p>
    <w:p>
      <w:pPr>
        <w:spacing w:before="0" w:after="40"/>
      </w:pPr>
      <w:r>
        <w:rPr>
          <w:rFonts w:ascii="TNR" w:hAnsi="TNR"/>
          <w:color w:val="777777"/>
          <w:sz w:val="20"/>
        </w:rPr>
        <w:t>- Manuscript adheres to IMRaD structure as required by the journal.</w:t>
      </w:r>
    </w:p>
    <w:p>
      <w:pPr>
        <w:spacing w:before="0" w:after="40"/>
      </w:pPr>
      <w:r>
        <w:rPr>
          <w:rFonts w:ascii="TNR" w:hAnsi="TNR"/>
          <w:color w:val="777777"/>
          <w:sz w:val="20"/>
        </w:rPr>
        <w:t>- All data sourced from the graduate course demo portal at https://zhengwen69.github.io/cdu-gufei-web-demo/</w:t>
      </w:r>
    </w:p>
    <w:p>
      <w:pPr>
        <w:spacing w:before="0" w:after="40"/>
      </w:pPr>
      <w:r>
        <w:rPr>
          <w:rFonts w:ascii="TNR" w:hAnsi="TNR"/>
          <w:color w:val="777777"/>
          <w:sz w:val="20"/>
        </w:rPr>
        <w:t>- No funding conflict declared. Ethics approval not required (educational methodology research).</w:t>
      </w:r>
    </w:p>
    <w:p>
      <w:pPr>
        <w:spacing w:before="0" w:after="40"/>
      </w:pPr>
      <w:r>
        <w:rPr>
          <w:rFonts w:ascii="TNR" w:hAnsi="TNR"/>
          <w:color w:val="777777"/>
          <w:sz w:val="20"/>
        </w:rPr>
        <w:t>- Pre-submission: Verify manuscript formatting against latest journal template and author guidelines.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