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NR" w:hAnsi="TNR"/>
          <w:b/>
          <w:color w:val="1A3A5C"/>
          <w:sz w:val="28"/>
        </w:rPr>
        <w:t>Documentary Network Novel Cloud-Driven Narrative Reconstruction Pathway for Engineering Case Teaching — A Case Study of "Solid Waste Pollution Prevention and Control Technology"</w:t>
      </w:r>
    </w:p>
    <w:p>
      <w:pPr>
        <w:spacing w:before="40" w:after="20"/>
        <w:jc w:val="center"/>
      </w:pPr>
      <w:r>
        <w:rPr>
          <w:rFonts w:ascii="TNR" w:hAnsi="TNR"/>
          <w:color w:val="222222"/>
          <w:sz w:val="24"/>
        </w:rPr>
        <w:t>XIE Zeyu¹, WANG Hongbin², HUANG Zhengwen²\*</w:t>
      </w:r>
    </w:p>
    <w:p>
      <w:pPr>
        <w:spacing w:before="0" w:after="20"/>
        <w:jc w:val="center"/>
      </w:pPr>
      <w:r>
        <w:rPr>
          <w:rFonts w:ascii="TNR" w:hAnsi="TNR"/>
          <w:color w:val="777777"/>
          <w:sz w:val="20"/>
        </w:rPr>
        <w:t>¹ Shinawatra University, Thailand</w:t>
      </w:r>
    </w:p>
    <w:p>
      <w:pPr>
        <w:spacing w:before="0" w:after="20"/>
        <w:jc w:val="center"/>
      </w:pPr>
      <w:r>
        <w:rPr>
          <w:rFonts w:ascii="TNR" w:hAnsi="TNR"/>
          <w:color w:val="777777"/>
          <w:sz w:val="20"/>
        </w:rPr>
        <w:t>² Department of Environmental Engineering, College of Architecture and Civil Engineering, Chengdu University, Chengdu 610106, China</w:t>
      </w:r>
    </w:p>
    <w:p>
      <w:pPr>
        <w:spacing w:before="0" w:after="120"/>
        <w:jc w:val="center"/>
      </w:pPr>
      <w:r>
        <w:rPr>
          <w:rFonts w:ascii="TNR" w:hAnsi="TNR"/>
          <w:color w:val="777777"/>
          <w:sz w:val="20"/>
        </w:rPr>
        <w:t>* Corresponding Author</w:t>
      </w:r>
    </w:p>
    <w:p>
      <w:pPr>
        <w:spacing w:before="200" w:after="40"/>
      </w:pPr>
      <w:r>
        <w:rPr>
          <w:rFonts w:ascii="TNR" w:hAnsi="TNR"/>
          <w:b/>
          <w:color w:val="5B9BD5"/>
          <w:sz w:val="24"/>
        </w:rPr>
        <w:t>Abstract</w:t>
      </w:r>
    </w:p>
    <w:p>
      <w:pPr>
        <w:spacing w:before="20" w:after="40"/>
      </w:pPr>
      <w:r>
        <w:rPr>
          <w:rFonts w:ascii="TNR" w:hAnsi="TNR"/>
          <w:color w:val="222222"/>
          <w:sz w:val="24"/>
        </w:rPr>
        <w:t>The classic predicament of engineering case teaching is the "Dry Case." A Dry Case compresses reality into project background ("a city produces X tons of daily waste"), technical parameters ("proposed incineration plant Y tons/day"), and a decision conclusion ("Process Z was selected based on evaluation"). Students read a "sterile report" that has undergone extensive abstraction and post-hoc processing. They do not encounter an engineering site with warmth, tension, and multidimensional conflicts. This paper, using the teaching practice of the graduate course "Solid Waste Pollution Prevention and Control Technology" at Chengdu University as a case, proposes a Documentary Novel Cloud (DNC)-driven story-based reconstruction pathway for engineering case teaching. The pathway employs seven Documentary Network Novels publicly published by Professor Huang Zhengwen as the narrative Source Material Repository. These novels yield 21 Instructional Excerpts (S001–S021). Through the Five-Stage Narrative Deconstruction Method (Background→Conflict→Decision→Outcome→Insight), real solid waste management events are transformed into teachable structured narratives. This paper systematically presents the narrative representation of four types of mismatch. Spatial mismatch appears in the land devaluation narrative of "Longqi Bay." Technical mismatch is evident in the technology–feedstock contradiction in "Qinglong Lake." Behavioral mismatch emerges from the classification dilemma in "Yangliu Dam and Liujia Cove." Humanistic mismatch is captured in the neglected dignity of "Sanduoli Alley." The paper also analyzes the three-step transformation pathway from engineering narrative to teaching case. This pathway proceeds through extraction, deconstruction, and migration. The collaborative role of Agent-S Narrative Case Deconstruction in automated excerpt selection is also examined. Documentary Network Novels offer three unique advantages as teaching case materials. Authenticity (non-fiction, copyrighted) ensures teaching credibility. Narrativity (the Five-Stage Narrative structure) provides reusable pedagogical grammar. Incrementality (continuous creation→continuous selection→continuous updating) endows the Source Material Repository with vitality.</w:t>
      </w:r>
    </w:p>
    <w:p>
      <w:pPr>
        <w:spacing w:before="40" w:after="120"/>
      </w:pPr>
      <w:r>
        <w:rPr>
          <w:rFonts w:ascii="TNR" w:hAnsi="TNR"/>
          <w:i/>
          <w:color w:val="777777"/>
          <w:sz w:val="22"/>
        </w:rPr>
        <w:t>Keywords:  case teaching; Documentary Novel; Story-Based Teaching; Five-Stage Narrative; engineering education; graduate course</w:t>
      </w:r>
    </w:p>
    <w:p>
      <w:pPr>
        <w:spacing w:before="200" w:after="80"/>
      </w:pPr>
      <w:r>
        <w:rPr>
          <w:rFonts w:ascii="TNR" w:hAnsi="TNR"/>
          <w:b/>
          <w:color w:val="1A3A5C"/>
          <w:sz w:val="24"/>
        </w:rPr>
        <w:t>Introduction</w:t>
      </w:r>
    </w:p>
    <w:p>
      <w:pPr>
        <w:spacing w:before="20" w:after="40"/>
      </w:pPr>
      <w:r>
        <w:rPr>
          <w:rFonts w:ascii="TNR" w:hAnsi="TNR"/>
          <w:color w:val="222222"/>
          <w:sz w:val="24"/>
        </w:rPr>
        <w:t>Case teaching is one of the core methods in engineering education. A well-designed engineering case can achieve multiple objectives within limited teaching time. It can stimulate learning motivation ("this problem is worth solving"). It provides knowledge anchors ("this is how this principle is applied in this scenario"). It trains analytical skills ("if I were making this decision, how would I analyze it?"). It also embeds implicit value education ("who benefits and who loses from this proposal?"). However, a saying circulates widely among engineering educators—though it has not been formally recorded in the literature: engineering cases are "washed clean." Through extensive abstraction and post-hoc processing, all the "dirt"—uncertainty, conflicts of interest, incomplete information, and emotional entanglements—has been rinsed away.</w:t>
      </w:r>
    </w:p>
    <w:p>
      <w:pPr>
        <w:spacing w:before="20" w:after="40"/>
      </w:pPr>
      <w:r>
        <w:rPr>
          <w:rFonts w:ascii="TNR" w:hAnsi="TNR"/>
          <w:color w:val="222222"/>
          <w:sz w:val="24"/>
        </w:rPr>
        <w:t>"Washed" cases have their pedagogical value. They allow students to practice using analytical tools within clearly defined problem boundaries. Yet they also cause three types of pedagogical loss. First, motivational loss. When students read a case stating "a city produces X tons of daily waste," they feel neither the urgency of waste besieging the city. Nor can they see how many families' lives are affected by the spatial allocation of solid waste facilities behind this "X tons." Second, intuitive loss. Real engineering judgment must be made under incomplete information and time pressure. "Washed" cases, however, pre-specify all variables in advance. Third, humanistic loss. Cases are stripped of stakeholder emotions, conflicts, and ethical tensions. Students learn "how to calculate" but not "for whom to calculate."</w:t>
      </w:r>
    </w:p>
    <w:p>
      <w:pPr>
        <w:spacing w:before="20" w:after="40"/>
      </w:pPr>
      <w:r>
        <w:rPr>
          <w:rFonts w:ascii="TNR" w:hAnsi="TNR"/>
          <w:color w:val="222222"/>
          <w:sz w:val="24"/>
        </w:rPr>
        <w:t>The Harvard Business School case method has profoundly influenced engineering education. Yet its case production costs are extremely high. A complete business case requires months of investigation and dozens of revisions, and copyright licensing fees are expensive [1]. Engineering education needs a case material acquisition and story-based reconstruction method that is cost-controllable, scalable, and capable of continuous iteration.</w:t>
      </w:r>
    </w:p>
    <w:p>
      <w:pPr>
        <w:spacing w:before="0" w:after="20"/>
        <w:jc w:val="center"/>
      </w:pPr>
      <w:r>
        <w:rPr>
          <w:rFonts w:ascii="TNR" w:hAnsi="TNR"/>
          <w:color w:val="777777"/>
          <w:sz w:val="20"/>
        </w:rPr>
        <w:t>This paper, using the graduate course "Solid Waste Pollution Prevention and Control Technology" offered by the Department of Environmental Engineering at Chengdu University as a case, systematically elaborates the Documentary Novel Cloud (DNC)-driven story-based reconstruction pathway for engineering case teaching. The pathway uses the seven Documentary Network Novels publicly published by Professor Huang Zhengwen as the narrative Source Material Repository. Through the Five-Stage Narrative Deconstruction Method, real solid waste management events are transformed into teachable engineering cases.</w:t>
      </w:r>
    </w:p>
    <w:p>
      <w:pPr>
        <w:spacing w:before="200" w:after="80"/>
      </w:pPr>
      <w:r>
        <w:rPr>
          <w:rFonts w:ascii="TNR" w:hAnsi="TNR"/>
          <w:b/>
          <w:color w:val="1A3A5C"/>
          <w:sz w:val="24"/>
        </w:rPr>
        <w:t>1. The Predicament of the "Dry Case" and the Possibility of Story-Based Reconstruction</w:t>
      </w:r>
    </w:p>
    <w:p>
      <w:pPr>
        <w:spacing w:before="20" w:after="40"/>
      </w:pPr>
      <w:r>
        <w:rPr>
          <w:rFonts w:ascii="TNR" w:hAnsi="TNR"/>
          <w:color w:val="222222"/>
          <w:sz w:val="24"/>
        </w:rPr>
        <w:t>### 1.1 Three Types of Deficiency in Engineering Cases</w:t>
      </w:r>
    </w:p>
    <w:p>
      <w:pPr>
        <w:spacing w:before="20" w:after="40"/>
      </w:pPr>
      <w:r>
        <w:rPr>
          <w:rFonts w:ascii="TNR" w:hAnsi="TNR"/>
          <w:color w:val="222222"/>
          <w:sz w:val="24"/>
        </w:rPr>
        <w:t>Traditional engineering case presentation follows a four-part structure: background–data–analysis–conclusion. Take solid waste incineration plant technology selection as an example. A typical "Dry Case" reads: "A city produces 1,200 tons of domestic waste daily, with a calorific value of 4,500–5,200 kJ/kg and moisture content of 45%–55%. Compare the advantages and disadvantages of mechanical grate furnaces versus fluidized bed furnaces and recommend the optimal technical route." This case contains all the necessary technical parameters. Yet it lacks everything that makes the case "worth discussing." Is this city in the south or the north? What is its waste classification level? What do nearby residents think of the incineration plant? Has it ever tried and failed at any technical option? If the wrong option is chosen, who bears the consequences?</w:t>
      </w:r>
    </w:p>
    <w:p>
      <w:pPr>
        <w:spacing w:before="20" w:after="40"/>
      </w:pPr>
      <w:r>
        <w:rPr>
          <w:rFonts w:ascii="TNR" w:hAnsi="TNR"/>
          <w:color w:val="222222"/>
          <w:sz w:val="24"/>
        </w:rPr>
        <w:t>The Dry Case suffers from three types of deficiency. The first deficiency is the absence of context. The case is stripped from the social, institutional, and historical background in which it occurred. It becomes a universal "exercise problem." The second deficiency is the absence of conflict. Real engineering decisions almost always involve multi-objective, multi-stakeholder bargaining. The Dry Case reduces this bargaining to single-objective optimization. The third deficiency is the absence of affect. After reading the case, the student's response is "which formula should I use?" rather than "what should the people in this village do?"</w:t>
      </w:r>
    </w:p>
    <w:p>
      <w:pPr>
        <w:spacing w:before="20" w:after="40"/>
      </w:pPr>
      <w:r>
        <w:rPr>
          <w:rFonts w:ascii="TNR" w:hAnsi="TNR"/>
          <w:color w:val="222222"/>
          <w:sz w:val="24"/>
        </w:rPr>
        <w:t>### 1.2 Narrative as Cognitive Enhancement for Cases</w:t>
      </w:r>
    </w:p>
    <w:p>
      <w:pPr>
        <w:spacing w:before="20" w:after="40"/>
      </w:pPr>
      <w:r>
        <w:rPr>
          <w:rFonts w:ascii="TNR" w:hAnsi="TNR"/>
          <w:color w:val="222222"/>
          <w:sz w:val="24"/>
        </w:rPr>
        <w:t>Research in educational psychology demonstrates that narrative-based learning materials outperform abstract materials in three aspects: depth of understanding, memory retention, and transfer application [2–3]. Narrative provides knowledge with a "Situational Anchor." Learners encode knowledge within cognitive structures associated with story plots. When retrieval is needed, knowledge can be accessed simultaneously through both a "conceptual pathway" and a "narrative pathway."</w:t>
      </w:r>
    </w:p>
    <w:p>
      <w:pPr>
        <w:spacing w:before="20" w:after="40"/>
      </w:pPr>
      <w:r>
        <w:rPr>
          <w:rFonts w:ascii="TNR" w:hAnsi="TNR"/>
          <w:color w:val="222222"/>
          <w:sz w:val="24"/>
        </w:rPr>
        <w:t>For engineering education, the cognitive enhancement function of narrative carries an additional layer of value. Engineering knowledge itself is "Cold Knowledge." It consists of formulas, parameters, process flows, and design specifications. It is characterized by high abstraction and low affective load. Narrative can endow a technical parameter with "Hot Context." A calorific value of 4,500 kJ/kg is no longer an isolated number. It becomes a concrete story behind "why, for the same domestic waste, the calorific value in 'Qinglong Lake' during the rainy season is only half that of the dry season." Narrative does not replace technical analysis. It provides the motivation for "why this problem is worth analyzing" and the context for "what this parameter means in this situation."</w:t>
      </w:r>
    </w:p>
    <w:p>
      <w:pPr>
        <w:spacing w:before="20" w:after="40"/>
      </w:pPr>
      <w:r>
        <w:rPr>
          <w:rFonts w:ascii="TNR" w:hAnsi="TNR"/>
          <w:color w:val="222222"/>
          <w:sz w:val="24"/>
        </w:rPr>
        <w:t>### 1.3 Unique Advantages of Copyright-Registered Documentary Novels as Case Materials</w:t>
      </w:r>
    </w:p>
    <w:p>
      <w:pPr>
        <w:spacing w:before="20" w:after="40"/>
      </w:pPr>
      <w:r>
        <w:rPr>
          <w:rFonts w:ascii="TNR" w:hAnsi="TNR"/>
          <w:color w:val="222222"/>
          <w:sz w:val="24"/>
        </w:rPr>
        <w:t>Compared with other sources of real narratives such as journalistic reports, documentaries, and corporate case libraries, Documentary Network Novels offer four unique advantages as engineering case materials. First, clear copyright. Professor Huang Zhengwen's seven Documentary Network Novels have completed Copyright Registration. The use of Instructional Excerpts for teaching purposes is legally compliant with clear legitimacy. Second, narrative depth. Documentary Novels can enter the inner world of characters and the underlying logic of events. News reports, by contrast, typically remain on the factual surface. Third, controlled extraction. The course team can extract multiple Instructional Excerpts from a full-length novel. Currently there are 21 excerpts, numbered S001–S021. Each excerpt corresponds to a specific teaching knowledge point and mismatch dimension. This achieves the efficiency of "one novel serving multiple weeks." Fourth, continuous iteration. As works already publicly released on QQ Reading and 17K Literature, the author can continue creating and publishing new content. New content can be continuously excerpted and added to the repository. The Source Material Repository thus maintains its vitality.</w:t>
      </w:r>
    </w:p>
    <w:p>
      <w:pPr>
        <w:spacing w:before="200" w:after="80"/>
      </w:pPr>
      <w:r>
        <w:rPr>
          <w:rFonts w:ascii="TNR" w:hAnsi="TNR"/>
          <w:b/>
          <w:color w:val="1A3A5C"/>
          <w:sz w:val="24"/>
        </w:rPr>
        <w:t>2. The Five-Stage Narrative Deconstruction Method: From Engineering Narrative to Teaching Case</w:t>
      </w:r>
    </w:p>
    <w:p>
      <w:pPr>
        <w:spacing w:before="20" w:after="40"/>
      </w:pPr>
      <w:r>
        <w:rPr>
          <w:rFonts w:ascii="TNR" w:hAnsi="TNR"/>
          <w:color w:val="222222"/>
          <w:sz w:val="24"/>
        </w:rPr>
        <w:t>### 2.1 The Five Stages of the Deconstruction Method</w:t>
      </w:r>
    </w:p>
    <w:p>
      <w:pPr>
        <w:spacing w:before="20" w:after="40"/>
      </w:pPr>
      <w:r>
        <w:rPr>
          <w:rFonts w:ascii="TNR" w:hAnsi="TNR"/>
          <w:color w:val="222222"/>
          <w:sz w:val="24"/>
        </w:rPr>
        <w:t>The Five-Stage Narrative Deconstruction Method is a standard operating procedure for transforming a segment of a Documentary Network Novel's original text into a teachable, structured case. Its five stages are not a literary analysis template mechanically imposed. Rather, they constitute a functional structure reverse-engineered from teaching needs. Every stage has a clearly defined purpose in teaching.</w:t>
      </w:r>
    </w:p>
    <w:p>
      <w:pPr>
        <w:spacing w:before="20" w:after="40"/>
      </w:pPr>
      <w:r>
        <w:rPr>
          <w:rFonts w:ascii="TNR" w:hAnsi="TNR"/>
          <w:color w:val="222222"/>
          <w:sz w:val="24"/>
        </w:rPr>
        <w:t>The Background stage answers the question: "Under what social, institutional, and environmental conditions did this event occur?" Its teaching function is to provide students with contextual information for understanding subsequent conflicts. At the same time, teaching knowledge points are implicitly embedded in the background description. For example: "The Longqi Bay landfill was built in 2008, serving a population of approximately 300,000." This sentence contains teaching clues such as "landfill service life" and the "population size–waste volume relationship."</w:t>
      </w:r>
    </w:p>
    <w:p>
      <w:pPr>
        <w:spacing w:before="20" w:after="40"/>
      </w:pPr>
      <w:r>
        <w:rPr>
          <w:rFonts w:ascii="TNR" w:hAnsi="TNR"/>
          <w:color w:val="222222"/>
          <w:sz w:val="24"/>
        </w:rPr>
        <w:t>The Conflict stage answers the question: "What is the core contradiction, and between whom and why does tension arise?" Its teaching function is to activate students' cognitive curiosity—"why is this happening?"—while simultaneously weaving technical problems together with social and ethical problems.</w:t>
      </w:r>
    </w:p>
    <w:p>
      <w:pPr>
        <w:spacing w:before="20" w:after="40"/>
      </w:pPr>
      <w:r>
        <w:rPr>
          <w:rFonts w:ascii="TNR" w:hAnsi="TNR"/>
          <w:color w:val="222222"/>
          <w:sz w:val="24"/>
        </w:rPr>
        <w:t>The Decision stage answers the question: "Faced with the conflict, what choices did the stakeholders make, and what alternative options were considered or ignored?" Its teaching function is to provide students with a space for role assumption: "if I were making this decision, what would I choose?"</w:t>
      </w:r>
    </w:p>
    <w:p>
      <w:pPr>
        <w:spacing w:before="20" w:after="40"/>
      </w:pPr>
      <w:r>
        <w:rPr>
          <w:rFonts w:ascii="TNR" w:hAnsi="TNR"/>
          <w:color w:val="222222"/>
          <w:sz w:val="24"/>
        </w:rPr>
        <w:t>The Outcome stage answers the question: "What results did the decision produce, and were there any unexpected consequences?" Its teaching function is to provide a "feedback signal" grounded in real events. Students can see the consequences of a decision. This is far more persuasive than a teacher declaring "this option is better."</w:t>
      </w:r>
    </w:p>
    <w:p>
      <w:pPr>
        <w:spacing w:before="20" w:after="40"/>
      </w:pPr>
      <w:r>
        <w:rPr>
          <w:rFonts w:ascii="TNR" w:hAnsi="TNR"/>
          <w:color w:val="222222"/>
          <w:sz w:val="24"/>
        </w:rPr>
        <w:t>The Insight stage answers the question: "What generalizable cognition can be abstracted from this narrative?" Its teaching function is to elevate insights from a specific case into transferable Methodological Chunks or Research Gaps.</w:t>
      </w:r>
    </w:p>
    <w:p>
      <w:pPr>
        <w:spacing w:before="20" w:after="40"/>
      </w:pPr>
      <w:r>
        <w:rPr>
          <w:rFonts w:ascii="TNR" w:hAnsi="TNR"/>
          <w:color w:val="222222"/>
          <w:sz w:val="24"/>
        </w:rPr>
        <w:t>### 2.2 Deconstruction Example: "Qinglong Lake" S004–S005</w:t>
      </w:r>
    </w:p>
    <w:p>
      <w:pPr>
        <w:spacing w:before="20" w:after="40"/>
      </w:pPr>
      <w:r>
        <w:rPr>
          <w:rFonts w:ascii="TNR" w:hAnsi="TNR"/>
          <w:color w:val="222222"/>
          <w:sz w:val="24"/>
        </w:rPr>
        <w:t>Using Instructional Excerpts S004–S005 from the Documentary Network Novel "Qinglong Lake" as an example, the complete Five-Stage Narrative deconstruction is presented below (Figure 1).</w:t>
      </w:r>
    </w:p>
    <w:p>
      <w:pPr>
        <w:jc w:val="center"/>
      </w:pPr>
      <w:r>
        <w:drawing>
          <wp:inline xmlns:a="http://schemas.openxmlformats.org/drawingml/2006/main" xmlns:pic="http://schemas.openxmlformats.org/drawingml/2006/picture">
            <wp:extent cx="5029200" cy="4779639"/>
            <wp:docPr id="4" name="Picture 4"/>
            <wp:cNvGraphicFramePr>
              <a:graphicFrameLocks noChangeAspect="1"/>
            </wp:cNvGraphicFramePr>
            <a:graphic>
              <a:graphicData uri="http://schemas.openxmlformats.org/drawingml/2006/picture">
                <pic:pic>
                  <pic:nvPicPr>
                    <pic:cNvPr id="0" name="P4_fig1.png"/>
                    <pic:cNvPicPr/>
                  </pic:nvPicPr>
                  <pic:blipFill>
                    <a:blip r:embed="rId12"/>
                    <a:stretch>
                      <a:fillRect/>
                    </a:stretch>
                  </pic:blipFill>
                  <pic:spPr>
                    <a:xfrm>
                      <a:off x="0" y="0"/>
                      <a:ext cx="5029200" cy="4779639"/>
                    </a:xfrm>
                    <a:prstGeom prst="rect"/>
                  </pic:spPr>
                </pic:pic>
              </a:graphicData>
            </a:graphic>
          </wp:inline>
        </w:drawing>
      </w:r>
    </w:p>
    <w:p>
      <w:pPr>
        <w:spacing w:before="20" w:after="40"/>
      </w:pPr>
      <w:r>
        <w:rPr>
          <w:rFonts w:ascii="TNR" w:hAnsi="TNR"/>
          <w:color w:val="222222"/>
          <w:sz w:val="24"/>
        </w:rPr>
        <w:t>*[Figure 1: Five-Stage Narrative Deconstruction Example (S004–S005)]*</w:t>
      </w:r>
    </w:p>
    <w:p>
      <w:pPr>
        <w:spacing w:before="80" w:after="80"/>
        <w:jc w:val="center"/>
      </w:pPr>
      <w:r>
        <w:rPr>
          <w:rFonts w:ascii="TNR" w:hAnsi="TNR"/>
          <w:i/>
          <w:color w:val="777777"/>
          <w:sz w:val="22"/>
        </w:rPr>
        <w:t>*[Figure 1: Five-Stage Narrative Deconstruction Example (S004–S005)]*</w:t>
      </w:r>
    </w:p>
    <w:p>
      <w:pPr>
        <w:spacing w:before="20" w:after="40"/>
      </w:pPr>
      <w:r>
        <w:rPr>
          <w:rFonts w:ascii="TNR" w:hAnsi="TNR"/>
          <w:color w:val="222222"/>
          <w:sz w:val="24"/>
        </w:rPr>
        <w:t>**Background:** Qinglong Lake City introduced an advanced German mechanical grate furnace incineration system in 2015 to address its daily domestic waste output of 800 tons. The design capacity was 600 tons/day, with a design calorific value benchmark of 6,000 kJ/kg. The project's Environmental Impact Assessment report pledged emission standards stricter than the EU Directive 2010/75/EU.</w:t>
      </w:r>
    </w:p>
    <w:p>
      <w:pPr>
        <w:spacing w:before="20" w:after="40"/>
      </w:pPr>
      <w:r>
        <w:rPr>
          <w:rFonts w:ascii="TNR" w:hAnsi="TNR"/>
          <w:color w:val="222222"/>
          <w:sz w:val="24"/>
        </w:rPr>
        <w:t>**Conflict:** One year after system commissioning, emission data repeatedly exceeded standards. German experts conducted an on-site investigation and identified the core problem. The actual waste calorific value was far below the design benchmark: approximately 5,500 kJ/kg in the dry season, dropping to 3,500 kJ/kg in the rainy season, with an annual average of 4,200 kJ/kg. Waste moisture content (55%–65%) was significantly higher than typical European values (30%–40%). The feedstock composition also exhibited systematic deviation from the design assumptions. Kitchen waste accounted for an excessively high proportion, while plastics and paper were too low. The essence of the contradiction was not equipment quality. It was a systemic mismatch between the "technical design assumptions" and the "actual characteristics of Chinese urban waste."</w:t>
      </w:r>
    </w:p>
    <w:p>
      <w:pPr>
        <w:spacing w:before="20" w:after="40"/>
      </w:pPr>
      <w:r>
        <w:rPr>
          <w:rFonts w:ascii="TNR" w:hAnsi="TNR"/>
          <w:color w:val="222222"/>
          <w:sz w:val="24"/>
        </w:rPr>
        <w:t>**Decision:** The operator faced three options. Option one: invest additional funds to retrofit the pre-treatment line and combustion control system (high investment but controllable risk). Option two: shut down and rebuild (economically unfeasible). Option three: continue operation while accepting intermittent non-compliance and environmental fines (high legal risk). The final choice was "adding a waste pre-sorting line + adjusting secondary air ratios + stricter feedstock quality control."</w:t>
      </w:r>
    </w:p>
    <w:p>
      <w:pPr>
        <w:spacing w:before="20" w:after="40"/>
      </w:pPr>
      <w:r>
        <w:rPr>
          <w:rFonts w:ascii="TNR" w:hAnsi="TNR"/>
          <w:color w:val="222222"/>
          <w:sz w:val="24"/>
        </w:rPr>
        <w:t>**Outcome:** After the retrofit, emissions met the standards. However, the total project cost exceeded the budget by 30%. A deeper question emerged: why was adequate local waste characteristic testing not conducted during the initial project approval and feasibility stage?</w:t>
      </w:r>
    </w:p>
    <w:p>
      <w:pPr>
        <w:spacing w:before="20" w:after="40"/>
      </w:pPr>
      <w:r>
        <w:rPr>
          <w:rFonts w:ascii="TNR" w:hAnsi="TNR"/>
          <w:color w:val="222222"/>
          <w:sz w:val="24"/>
        </w:rPr>
        <w:t>**Insight:** The fundamental risk of technology transfer lies not in the technology itself but in "technology–scenario" matching. Waste composition and calorific value are not secondary parameters in the appendix. They are the core variables that determine technical success or failure.</w:t>
      </w:r>
    </w:p>
    <w:p>
      <w:pPr>
        <w:spacing w:before="20" w:after="40"/>
      </w:pPr>
      <w:r>
        <w:rPr>
          <w:rFonts w:ascii="TNR" w:hAnsi="TNR"/>
          <w:color w:val="222222"/>
          <w:sz w:val="24"/>
        </w:rPr>
        <w:t>**Methodological Chunk:** Technical Applicability Matrix—a multi-indicator assessment framework that takes five variables (waste composition, calorific value, moisture content, treatment scale, and fiscal conditions) as inputs and produces a "technology–scenario matching degree" as the output.</w:t>
      </w:r>
    </w:p>
    <w:p>
      <w:pPr>
        <w:spacing w:before="20" w:after="40"/>
      </w:pPr>
      <w:r>
        <w:rPr>
          <w:rFonts w:ascii="TNR" w:hAnsi="TNR"/>
          <w:color w:val="222222"/>
          <w:sz w:val="24"/>
        </w:rPr>
        <w:t>### 2.3 The Collaborative Role of Agent-S in the Deconstruction Workflow</w:t>
      </w:r>
    </w:p>
    <w:p>
      <w:pPr>
        <w:spacing w:before="20" w:after="40"/>
      </w:pPr>
      <w:r>
        <w:rPr>
          <w:rFonts w:ascii="TNR" w:hAnsi="TNR"/>
          <w:color w:val="222222"/>
          <w:sz w:val="24"/>
        </w:rPr>
        <w:t>If the Five-Stage Narrative deconstruction were entirely performed manually by teachers, the time cost and professional threshold would severely constrain the speed of case repository expansion. In the solid waste course, this deconstruction workflow is assigned to Agent-S as a collaborative tool (Figure 2).</w:t>
      </w:r>
    </w:p>
    <w:p>
      <w:pPr>
        <w:jc w:val="center"/>
      </w:pPr>
      <w:r>
        <w:drawing>
          <wp:inline xmlns:a="http://schemas.openxmlformats.org/drawingml/2006/main" xmlns:pic="http://schemas.openxmlformats.org/drawingml/2006/picture">
            <wp:extent cx="5029200" cy="2414550"/>
            <wp:docPr id="3" name="Picture 3"/>
            <wp:cNvGraphicFramePr>
              <a:graphicFrameLocks noChangeAspect="1"/>
            </wp:cNvGraphicFramePr>
            <a:graphic>
              <a:graphicData uri="http://schemas.openxmlformats.org/drawingml/2006/picture">
                <pic:pic>
                  <pic:nvPicPr>
                    <pic:cNvPr id="0" name="P4_fig2.png"/>
                    <pic:cNvPicPr/>
                  </pic:nvPicPr>
                  <pic:blipFill>
                    <a:blip r:embed="rId11"/>
                    <a:stretch>
                      <a:fillRect/>
                    </a:stretch>
                  </pic:blipFill>
                  <pic:spPr>
                    <a:xfrm>
                      <a:off x="0" y="0"/>
                      <a:ext cx="5029200" cy="2414550"/>
                    </a:xfrm>
                    <a:prstGeom prst="rect"/>
                  </pic:spPr>
                </pic:pic>
              </a:graphicData>
            </a:graphic>
          </wp:inline>
        </w:drawing>
      </w:r>
    </w:p>
    <w:p>
      <w:pPr>
        <w:spacing w:before="20" w:after="40"/>
      </w:pPr>
      <w:r>
        <w:rPr>
          <w:rFonts w:ascii="TNR" w:hAnsi="TNR"/>
          <w:color w:val="222222"/>
          <w:sz w:val="24"/>
        </w:rPr>
        <w:t>*[Figure 2: Agent-S Contextual Workflow]*</w:t>
      </w:r>
    </w:p>
    <w:p>
      <w:pPr>
        <w:spacing w:before="80" w:after="80"/>
        <w:jc w:val="center"/>
      </w:pPr>
      <w:r>
        <w:rPr>
          <w:rFonts w:ascii="TNR" w:hAnsi="TNR"/>
          <w:i/>
          <w:color w:val="777777"/>
          <w:sz w:val="22"/>
        </w:rPr>
        <w:t>*[Figure 2: Agent-S Contextual Workflow]*</w:t>
      </w:r>
    </w:p>
    <w:p>
      <w:pPr>
        <w:spacing w:before="20" w:after="40"/>
      </w:pPr>
      <w:r>
        <w:rPr>
          <w:rFonts w:ascii="TNR" w:hAnsi="TNR"/>
          <w:color w:val="222222"/>
          <w:sz w:val="24"/>
        </w:rPr>
        <w:t>Agent-S is positioned as a "draft generator" rather than an "automated lesson plan writer." Its "understanding" of the novel is limited by the capability of large language models in analyzing literary texts. It cannot replace the teacher's professional judgment regarding pedagogical logic. However, in two scenarios—"rapidly expanding the case repository" and "supplementing alternative cases for existing weeks"—Agent-S significantly reduces the time delay from novel material to teaching case.</w:t>
      </w:r>
    </w:p>
    <w:p>
      <w:pPr>
        <w:spacing w:before="200" w:after="80"/>
      </w:pPr>
      <w:r>
        <w:rPr>
          <w:rFonts w:ascii="TNR" w:hAnsi="TNR"/>
          <w:b/>
          <w:color w:val="1A3A5C"/>
          <w:sz w:val="24"/>
        </w:rPr>
        <w:t>3. Narrative Representation of Four Types of Mismatch</w:t>
      </w:r>
    </w:p>
    <w:p>
      <w:pPr>
        <w:spacing w:before="20" w:after="40"/>
      </w:pPr>
      <w:r>
        <w:rPr>
          <w:rFonts w:ascii="TNR" w:hAnsi="TNR"/>
          <w:color w:val="222222"/>
          <w:sz w:val="24"/>
        </w:rPr>
        <w:t>### 3.1 Spatial Mismatch Narrative: Asset Deprivation in "Longqi Bay" (S001–S003)</w:t>
      </w:r>
    </w:p>
    <w:p>
      <w:pPr>
        <w:spacing w:before="20" w:after="40"/>
      </w:pPr>
      <w:r>
        <w:rPr>
          <w:rFonts w:ascii="TNR" w:hAnsi="TNR"/>
          <w:color w:val="222222"/>
          <w:sz w:val="24"/>
        </w:rPr>
        <w:t>"Longqi Bay" is the first volume in the seven-part Documentary Network Novel series. It chronicles the complete process of a small-to-medium city's domestic waste landfill—from site selection and construction to operation. The course extracts three Instructional Excerpts from this novel. They correspond to the spatial cognition building in Weeks 1 and 2.</w:t>
      </w:r>
    </w:p>
    <w:p>
      <w:pPr>
        <w:spacing w:before="20" w:after="40"/>
      </w:pPr>
      <w:r>
        <w:rPr>
          <w:rFonts w:ascii="TNR" w:hAnsi="TNR"/>
          <w:color w:val="222222"/>
          <w:sz w:val="24"/>
        </w:rPr>
        <w:t>S001 focuses on the persistent impacts of the landfill on the surrounding community after its completion: land devaluation, well water turning foul, apricot trees ceasing to bear fruit, residents' health complaints, and ignored appeals. This narrative is used as the "narrative entry point" for Week 1. Before students encounter any academic definition of spatial mismatch, they first read: "Why did Old Wang's apricot tree stop bearing fruit?" S002–S003 focus on the public hearing for the landfill's Phase II expansion. The geological expert presents technical data using PowerPoint slides. A resident representative stands up and asks, "Would you dare let your own child drink the water from this well?" The meeting room falls silent for ten seconds. This narrative is used as the core case for the Social Acceptability dimension within the Siting Justice Four-Dimensions framework in Week 2.</w:t>
      </w:r>
    </w:p>
    <w:p>
      <w:pPr>
        <w:spacing w:before="20" w:after="40"/>
      </w:pPr>
      <w:r>
        <w:rPr>
          <w:rFonts w:ascii="TNR" w:hAnsi="TNR"/>
          <w:color w:val="222222"/>
          <w:sz w:val="24"/>
        </w:rPr>
        <w:t>The four narrative materials implicitly contain a repeatedly verified teaching effect. After reading S002–S003, when students discuss "what does the expert's silence signify," the depth of the ethical dimension they spontaneously introduce—"was the expert's professional authority used to legitimize an unjust decision?"—exceeds the discussion depth that a simple lecture on "what is Procedural Justice" could provoke. Narrative does not replace teaching. It provides teaching with "an example truly worth discussing."</w:t>
      </w:r>
    </w:p>
    <w:p>
      <w:pPr>
        <w:spacing w:before="20" w:after="40"/>
      </w:pPr>
      <w:r>
        <w:rPr>
          <w:rFonts w:ascii="TNR" w:hAnsi="TNR"/>
          <w:color w:val="222222"/>
          <w:sz w:val="24"/>
        </w:rPr>
        <w:t>### 3.2 Technical Mismatch Narrative: "Chinese Waste Unlike German Waste" in "Qinglong Lake" (S004–S006)</w:t>
      </w:r>
    </w:p>
    <w:p>
      <w:pPr>
        <w:spacing w:before="20" w:after="40"/>
      </w:pPr>
      <w:r>
        <w:rPr>
          <w:rFonts w:ascii="TNR" w:hAnsi="TNR"/>
          <w:color w:val="222222"/>
          <w:sz w:val="24"/>
        </w:rPr>
        <w:t>"Qinglong Lake" documents the "acclimatization failure" of incineration technology and biological treatment technology in China. The core conflict of S004–S005 (detailed in the previous section) is the gulf between technical parameter design assumptions and the actual characteristics of Chinese urban waste. S006 introduces another dimension long neglected in technology selection discussions: time. The composting plant has operated for three years without showing a profit on the books. It faces shutdown pressure.</w:t>
      </w:r>
    </w:p>
    <w:p>
      <w:pPr>
        <w:spacing w:before="20" w:after="40"/>
      </w:pPr>
      <w:r>
        <w:rPr>
          <w:rFonts w:ascii="TNR" w:hAnsi="TNR"/>
          <w:color w:val="222222"/>
          <w:sz w:val="24"/>
        </w:rPr>
        <w:t>Professor Huang Zhengwen proposes the Waste Time Three-Dimensions framework. This framework encompasses Process Time (the time span required for the technology itself to complete treatment), Environmental Benefit Realization Time (the time delay from treatment completion to measurable environmental benefit), and Investment Payback Time (the period for economic cost recovery). In S006, the narrative conflict—"in three years, the composting plant hasn't earned a single cent"—provides a teaching anchor for the academic concept of "Waste Time" that no parameter table could replace. What students remember is not the isolated parameter "composting process time is approximately 30 days." They remember the scene in which "the finance bureau director pounds the table demanding 'can organic matter pay salaries?' while the environmental protection bureau director has calculated the carbon reduction value but cannot articulate it."</w:t>
      </w:r>
    </w:p>
    <w:p>
      <w:pPr>
        <w:spacing w:before="20" w:after="40"/>
      </w:pPr>
      <w:r>
        <w:rPr>
          <w:rFonts w:ascii="TNR" w:hAnsi="TNR"/>
          <w:color w:val="222222"/>
          <w:sz w:val="24"/>
        </w:rPr>
        <w:t>### 3.3 Behavioral Mismatch Narrative: Stalled Classification in "Yangliu Dam and Liujia Cove" (S007–S009)</w:t>
      </w:r>
    </w:p>
    <w:p>
      <w:pPr>
        <w:spacing w:before="20" w:after="40"/>
      </w:pPr>
      <w:r>
        <w:rPr>
          <w:rFonts w:ascii="TNR" w:hAnsi="TNR"/>
          <w:color w:val="222222"/>
          <w:sz w:val="24"/>
        </w:rPr>
        <w:t>"Yangliu Dam and Liujia Cove" focuses on the most uncontrollable "last meter" in solid waste management: human behavior. S007–S008 document the predicament after introducing waste classification in a rural area. Four-color sorting bins are in place. Promotional slogans cover the walls. Supervisors have been trained and deployed. Yet three months later, the classification accuracy rate is less than 30%. Village officials say "the villagers are of low quality." Villagers say "it's too much trouble, and we can't see what good sorting does."</w:t>
      </w:r>
    </w:p>
    <w:p>
      <w:pPr>
        <w:spacing w:before="20" w:after="40"/>
      </w:pPr>
      <w:r>
        <w:rPr>
          <w:rFonts w:ascii="TNR" w:hAnsi="TNR"/>
          <w:color w:val="222222"/>
          <w:sz w:val="24"/>
        </w:rPr>
        <w:t>The teaching function of this narrative is not to "find an example for the Behavioral Mismatch Four-Factors framework." It is the reverse. The Behavioral Mismatch Four-Factors framework was inductively derived from this type of real narrative. After reading S007, students are asked: "Without using any analytical framework, based on your intuition, why did classification stall in Yangliu Dam?" The teacher then introduces the four-factor framework (Cognitive Barrier, Convenience Trap, Social Norm Vacuum, Feedback Delay). Students re-analyze the case and compare the differences between their "intuitive" and "framework-based" analysis results. This "intuition first, framework later" teaching sequence ensures that students not only learn to use the framework but also experience "what the framework helps you see." This is precisely the pedagogical meaning of the Framework dimension (Framework Empowerment). A framework does not teach you new knowledge. It helps you see what your intuition had already dimly sensed but could not systematically articulate.</w:t>
      </w:r>
    </w:p>
    <w:p>
      <w:pPr>
        <w:spacing w:before="20" w:after="40"/>
      </w:pPr>
      <w:r>
        <w:rPr>
          <w:rFonts w:ascii="TNR" w:hAnsi="TNR"/>
          <w:color w:val="222222"/>
          <w:sz w:val="24"/>
        </w:rPr>
        <w:t>S009 extends the behavioral analysis to producers. A village-run plastics factory faces the dilemma of the EPR requirement: "selling one unit earns thirty cents; recycling one unit costs fifty cents." This narrative provides a set of "living economics" for the EPR Mismatch Three-Sources framework (Ambiguous Responsibility Definition, Enforcement Cost Shifting, Oversight Failure). After students calculate the inequality faced by the factory owner—"compliance cost &gt; fine × probability of inspection"—they need no additional explanation from the teacher to grasp: "there is something wrong with this institutional design."</w:t>
      </w:r>
    </w:p>
    <w:p>
      <w:pPr>
        <w:spacing w:before="20" w:after="40"/>
      </w:pPr>
      <w:r>
        <w:rPr>
          <w:rFonts w:ascii="TNR" w:hAnsi="TNR"/>
          <w:color w:val="222222"/>
          <w:sz w:val="24"/>
        </w:rPr>
        <w:t>### 3.4 Humanistic Mismatch Narrative: "Nobody Ever Asked Me" in "Sanduoli Alley" (S010–S012)</w:t>
      </w:r>
    </w:p>
    <w:p>
      <w:pPr>
        <w:spacing w:before="20" w:after="40"/>
      </w:pPr>
      <w:r>
        <w:rPr>
          <w:rFonts w:ascii="TNR" w:hAnsi="TNR"/>
          <w:color w:val="222222"/>
          <w:sz w:val="24"/>
        </w:rPr>
        <w:t>"Sanduoli Alley" is the final link in the four-narrative sequence. It documents the social conflict triggered by siting a waste transfer station on a century-old alley. S010 is one of the shortest excerpts—fewer than 300 characters in the original text—yet it generates the deepest teaching discussion among the four narratives. Granny Zhang is illiterate. She does not know the public notice was published in the newspaper. She only learns that a waste station is to be built at her doorstep on the day the construction crew rolls into the alley entrance. The staff says, "the public notice was properly posted; the statutory period expired without objections." Granny Zhang simply feels: before they made the decision, nobody ever asked her opinion.</w:t>
      </w:r>
    </w:p>
    <w:p>
      <w:pPr>
        <w:spacing w:before="20" w:after="40"/>
      </w:pPr>
      <w:r>
        <w:rPr>
          <w:rFonts w:ascii="TNR" w:hAnsi="TNR"/>
          <w:color w:val="222222"/>
          <w:sz w:val="24"/>
        </w:rPr>
        <w:t>The teaching power of this narrative lies in the following: it contains a complete theory of justice. This theory is not expressed in academic language. It is expressed through one person's silence. "The public notice was properly posted" corresponds to the external form of Procedural Justice—the legally required steps were completed. "Nobody ever asked my opinion" corresponds to the substantive core of Procedural Justice—whether the affected person was truly granted the right to participate. "She simply feels" corresponds to Recognition Justice—whether one person's feelings qualify as evidence in public decision-making. A recurring phenomenon of S010 in teaching is its status as the most frequently cited excerpt by students. It is not only frequently mentioned in Week 7 classroom discussions. It also appears as argumentative evidence in some students' course papers and teaching reform papers. This 300-character excerpt's "teaching efficiency"—the depth of reflection generated per unit of text—surpasses any textbook definition of "procedural justice" (Figures 3 and 4).</w:t>
      </w:r>
    </w:p>
    <w:p>
      <w:pPr>
        <w:jc w:val="center"/>
      </w:pPr>
      <w:r>
        <w:drawing>
          <wp:inline xmlns:a="http://schemas.openxmlformats.org/drawingml/2006/main" xmlns:pic="http://schemas.openxmlformats.org/drawingml/2006/picture">
            <wp:extent cx="5029200" cy="1345213"/>
            <wp:docPr id="2" name="Picture 2"/>
            <wp:cNvGraphicFramePr>
              <a:graphicFrameLocks noChangeAspect="1"/>
            </wp:cNvGraphicFramePr>
            <a:graphic>
              <a:graphicData uri="http://schemas.openxmlformats.org/drawingml/2006/picture">
                <pic:pic>
                  <pic:nvPicPr>
                    <pic:cNvPr id="0" name="P4_fig3.png"/>
                    <pic:cNvPicPr/>
                  </pic:nvPicPr>
                  <pic:blipFill>
                    <a:blip r:embed="rId10"/>
                    <a:stretch>
                      <a:fillRect/>
                    </a:stretch>
                  </pic:blipFill>
                  <pic:spPr>
                    <a:xfrm>
                      <a:off x="0" y="0"/>
                      <a:ext cx="5029200" cy="1345213"/>
                    </a:xfrm>
                    <a:prstGeom prst="rect"/>
                  </pic:spPr>
                </pic:pic>
              </a:graphicData>
            </a:graphic>
          </wp:inline>
        </w:drawing>
      </w:r>
    </w:p>
    <w:p>
      <w:pPr>
        <w:spacing w:before="20" w:after="40"/>
      </w:pPr>
      <w:r>
        <w:rPr>
          <w:rFonts w:ascii="TNR" w:hAnsi="TNR"/>
          <w:color w:val="222222"/>
          <w:sz w:val="24"/>
        </w:rPr>
        <w:t>*[Figure 3: Novel Original Text Citation Block (.excerpt) Example]*</w:t>
      </w:r>
    </w:p>
    <w:p>
      <w:pPr>
        <w:spacing w:before="80" w:after="80"/>
        <w:jc w:val="center"/>
      </w:pPr>
      <w:r>
        <w:rPr>
          <w:rFonts w:ascii="TNR" w:hAnsi="TNR"/>
          <w:i/>
          <w:color w:val="777777"/>
          <w:sz w:val="22"/>
        </w:rPr>
        <w:t>*[Figure 3: Novel Original Text Citation Block (.excerpt) Example]*</w:t>
      </w:r>
    </w:p>
    <w:p>
      <w:pPr>
        <w:jc w:val="center"/>
      </w:pPr>
      <w:r>
        <w:drawing>
          <wp:inline xmlns:a="http://schemas.openxmlformats.org/drawingml/2006/main" xmlns:pic="http://schemas.openxmlformats.org/drawingml/2006/picture">
            <wp:extent cx="5029200" cy="8829460"/>
            <wp:docPr id="1" name="Picture 1"/>
            <wp:cNvGraphicFramePr>
              <a:graphicFrameLocks noChangeAspect="1"/>
            </wp:cNvGraphicFramePr>
            <a:graphic>
              <a:graphicData uri="http://schemas.openxmlformats.org/drawingml/2006/picture">
                <pic:pic>
                  <pic:nvPicPr>
                    <pic:cNvPr id="0" name="P4_fig4.png"/>
                    <pic:cNvPicPr/>
                  </pic:nvPicPr>
                  <pic:blipFill>
                    <a:blip r:embed="rId9"/>
                    <a:stretch>
                      <a:fillRect/>
                    </a:stretch>
                  </pic:blipFill>
                  <pic:spPr>
                    <a:xfrm>
                      <a:off x="0" y="0"/>
                      <a:ext cx="5029200" cy="8829460"/>
                    </a:xfrm>
                    <a:prstGeom prst="rect"/>
                  </pic:spPr>
                </pic:pic>
              </a:graphicData>
            </a:graphic>
          </wp:inline>
        </w:drawing>
      </w:r>
    </w:p>
    <w:p>
      <w:pPr>
        <w:spacing w:before="20" w:after="40"/>
      </w:pPr>
      <w:r>
        <w:rPr>
          <w:rFonts w:ascii="TNR" w:hAnsi="TNR"/>
          <w:color w:val="222222"/>
          <w:sz w:val="24"/>
        </w:rPr>
        <w:t>*[Figure 4: Teacher-Side Agent-S Card]*</w:t>
      </w:r>
    </w:p>
    <w:p>
      <w:pPr>
        <w:spacing w:before="80" w:after="80"/>
        <w:jc w:val="center"/>
      </w:pPr>
      <w:r>
        <w:rPr>
          <w:rFonts w:ascii="TNR" w:hAnsi="TNR"/>
          <w:i/>
          <w:color w:val="777777"/>
          <w:sz w:val="22"/>
        </w:rPr>
        <w:t>*[Figure 4: Teacher-Side Agent-S Card]*</w:t>
      </w:r>
    </w:p>
    <w:p>
      <w:pPr>
        <w:spacing w:before="200" w:after="80"/>
      </w:pPr>
      <w:r>
        <w:rPr>
          <w:rFonts w:ascii="TNR" w:hAnsi="TNR"/>
          <w:b/>
          <w:color w:val="1A3A5C"/>
          <w:sz w:val="24"/>
        </w:rPr>
        <w:t>4. Discussion</w:t>
      </w:r>
    </w:p>
    <w:p>
      <w:pPr>
        <w:spacing w:before="20" w:after="40"/>
      </w:pPr>
      <w:r>
        <w:rPr>
          <w:rFonts w:ascii="TNR" w:hAnsi="TNR"/>
          <w:color w:val="222222"/>
          <w:sz w:val="24"/>
        </w:rPr>
        <w:t>Scaling and disseminating the Documentary Novel Cloud (DNC)-driven model requires answering three questions.</w:t>
      </w:r>
    </w:p>
    <w:p>
      <w:pPr>
        <w:spacing w:before="20" w:after="40"/>
      </w:pPr>
      <w:r>
        <w:rPr>
          <w:rFonts w:ascii="TNR" w:hAnsi="TNR"/>
          <w:color w:val="222222"/>
          <w:sz w:val="24"/>
        </w:rPr>
        <w:t>First, the material source issue. Not every engineering course instructor has published non-fiction works. The creation of seven novels consumed considerable time. However, this does not mean the model is entirely non-transferable. A viable alternative pathway is "micro-documentary writing." Teachers can record engineering practice events they have participated in or witnessed in shorter formats. Accumulating approximately ten such records can constitute a small Source Material Repository. Teachers' non-teaching experiences—engineering consulting, project review, accident investigation, and community communication—inherently contain rich narrative material. They have simply not been "recorded."</w:t>
      </w:r>
    </w:p>
    <w:p>
      <w:pPr>
        <w:spacing w:before="20" w:after="40"/>
      </w:pPr>
      <w:r>
        <w:rPr>
          <w:rFonts w:ascii="TNR" w:hAnsi="TNR"/>
          <w:color w:val="222222"/>
          <w:sz w:val="24"/>
        </w:rPr>
        <w:t>Second, copyright confirmation. Professor Huang Zhengwen's Documentary Network Novels have completed Copyright Registration. This provides clear legal protection.</w:t>
      </w:r>
    </w:p>
    <w:p>
      <w:pPr>
        <w:spacing w:before="20" w:after="40"/>
      </w:pPr>
      <w:r>
        <w:rPr>
          <w:rFonts w:ascii="TNR" w:hAnsi="TNR"/>
          <w:color w:val="222222"/>
          <w:sz w:val="24"/>
        </w:rPr>
        <w:t>Third, the teaching effectiveness of the Five-Stage Narrative deconstruction. Current teaching observations indicate that narrative-based cases show a positive difference in classroom participation compared to traditional Dry Cases. However, the question remains: does "higher student participation" equate to "better student learning outcomes"? This is especially relevant for deeper indicators such as analytical ability, knowledge transfer, and ethical awareness. These questions still require rigorous empirical evidence to answer.</w:t>
      </w:r>
    </w:p>
    <w:p>
      <w:pPr>
        <w:spacing w:before="200" w:after="80"/>
      </w:pPr>
      <w:r>
        <w:rPr>
          <w:rFonts w:ascii="TNR" w:hAnsi="TNR"/>
          <w:b/>
          <w:color w:val="1A3A5C"/>
          <w:sz w:val="24"/>
        </w:rPr>
        <w:t>5. Conclusion</w:t>
      </w:r>
    </w:p>
    <w:p>
      <w:pPr>
        <w:spacing w:before="20" w:after="40"/>
      </w:pPr>
      <w:r>
        <w:rPr>
          <w:rFonts w:ascii="TNR" w:hAnsi="TNR"/>
          <w:color w:val="222222"/>
          <w:sz w:val="24"/>
        </w:rPr>
        <w:t>The "dryness" of engineering cases is not an inevitable cost of case teaching. It is a design choice that can be improved. When an engineering case is written into a textbook, it has been "washed clean." Uncertainty is eliminated, conflicts of interest are simplified, and emotions are stripped away. But when an engineering case is "extracted" from a Documentary Network Novel, it retains the warmth of the event. There are named people, decisions with consequences, and endings with regrets.</w:t>
      </w:r>
    </w:p>
    <w:p>
      <w:pPr>
        <w:spacing w:before="20" w:after="40"/>
      </w:pPr>
      <w:r>
        <w:rPr>
          <w:rFonts w:ascii="TNR" w:hAnsi="TNR"/>
          <w:color w:val="222222"/>
          <w:sz w:val="24"/>
        </w:rPr>
        <w:t>The Five-Stage Narrative Deconstruction Method proposed in this paper provides an operational workflow for the "novel-to-case" transformation (extraction→deconstruction→migration). Agent-S provides automated assistance for this workflow that can reduce marginal costs. The narrative representation of four types of mismatch (spatial, technical, behavioral, humanistic) demonstrates that a set of Documentary Network Novels can provide a case material repository that runs through an entire eight-week course. It need not be isolated "one short story per week." The Documentary Network Novel Cloud-driven model admittedly sets the threshold of "requiring a published non-fiction work." Yet its underlying logic—using narrative to activate cognition, using conflict to drive thinking, using authenticity to build trust, and using emotion to internalize values—carries methodological implications for any engineering course.</w:t>
      </w:r>
    </w:p>
    <w:p>
      <w:pPr>
        <w:spacing w:before="280" w:after="120"/>
      </w:pPr>
      <w:r>
        <w:rPr>
          <w:rFonts w:ascii="TNR" w:hAnsi="TNR"/>
          <w:b/>
          <w:color w:val="5B9BD5"/>
          <w:sz w:val="24"/>
        </w:rPr>
        <w:t>References</w:t>
      </w:r>
    </w:p>
    <w:p>
      <w:pPr>
        <w:spacing w:before="20" w:after="20"/>
      </w:pPr>
      <w:r>
        <w:rPr>
          <w:rFonts w:ascii="TNR" w:hAnsi="TNR"/>
          <w:color w:val="222222"/>
          <w:sz w:val="22"/>
        </w:rPr>
        <w:t>[1] BARNES L B, CHRISTENSEN C R, HANSEN A J. Teaching and the Case Method [M]. 3rd ed. Boston: Harvard Business School Press, 1994.</w:t>
      </w:r>
    </w:p>
    <w:p>
      <w:pPr>
        <w:spacing w:before="20" w:after="20"/>
      </w:pPr>
      <w:r>
        <w:rPr>
          <w:rFonts w:ascii="TNR" w:hAnsi="TNR"/>
          <w:color w:val="222222"/>
          <w:sz w:val="22"/>
        </w:rPr>
        <w:t>[2] BRUNER J. Actual Minds, Possible Worlds [M]. Cambridge: Harvard University Press, 1986.</w:t>
      </w:r>
    </w:p>
    <w:p>
      <w:pPr>
        <w:spacing w:before="20" w:after="20"/>
      </w:pPr>
      <w:r>
        <w:rPr>
          <w:rFonts w:ascii="TNR" w:hAnsi="TNR"/>
          <w:color w:val="222222"/>
          <w:sz w:val="22"/>
        </w:rPr>
        <w:t>[3] SCHANK R C. Tell Me a Story: Narrative and Intelligence [M]. Evanston: Northwestern University Press, 1990.</w:t>
      </w:r>
    </w:p>
    <w:p>
      <w:pPr>
        <w:spacing w:before="20" w:after="20"/>
      </w:pPr>
      <w:r>
        <w:rPr>
          <w:rFonts w:ascii="TNR" w:hAnsi="TNR"/>
          <w:color w:val="222222"/>
          <w:sz w:val="22"/>
        </w:rPr>
        <w:t>[4] HUANG Zhengwen. Inclusive Education Advisory · Reading Changes Destiny Secrets Series of Documentary Network Novels (Seven Volumes, Instructional Excerpts S001–S021) [M/OL]. QQ Reading / 17K Literature.</w:t>
      </w:r>
    </w:p>
    <w:p>
      <w:pPr>
        <w:spacing w:before="20" w:after="20"/>
      </w:pPr>
      <w:r>
        <w:rPr>
          <w:rFonts w:ascii="TNR" w:hAnsi="TNR"/>
          <w:color w:val="222222"/>
          <w:sz w:val="22"/>
        </w:rPr>
        <w:t>[5] HUANG Zhengwen. Solid Waste Pollution Prevention and Control Technology: Graduate Self-Compiled Lecture Notes (2025 Edition) [Z]. Chengdu University, 2025.</w:t>
      </w:r>
    </w:p>
    <w:p>
      <w:pPr>
        <w:spacing w:before="20" w:after="20"/>
      </w:pPr>
      <w:r>
        <w:rPr>
          <w:rFonts w:ascii="TNR" w:hAnsi="TNR"/>
          <w:color w:val="222222"/>
          <w:sz w:val="22"/>
        </w:rPr>
        <w:t>[6] HUANG Zhengwen. Solid Waste Pollution Prevention and Control Technology Graduate Quality Course Demonstration Portal [EB/OL]. https://zhengwen69.github.io/cdu-gufei-web-demo/, 2026.</w:t>
      </w:r>
    </w:p>
    <w:p>
      <w:pPr>
        <w:spacing w:before="20" w:after="20"/>
      </w:pPr>
      <w:r>
        <w:rPr>
          <w:rFonts w:ascii="TNR" w:hAnsi="TNR"/>
          <w:color w:val="222222"/>
          <w:sz w:val="22"/>
        </w:rPr>
        <w:t>[7] HERRED C F. Case Studies in Science: A Novel Method of Science Education [J]. Journal of College Science Teaching, 1994, 23(4): 221–229.</w:t>
      </w:r>
    </w:p>
    <w:p>
      <w:pPr>
        <w:spacing w:before="20" w:after="20"/>
      </w:pPr>
      <w:r>
        <w:rPr>
          <w:rFonts w:ascii="TNR" w:hAnsi="TNR"/>
          <w:color w:val="222222"/>
          <w:sz w:val="22"/>
        </w:rPr>
        <w:t>---</w:t>
      </w:r>
    </w:p>
    <w:p>
      <w:pPr>
        <w:spacing w:before="20" w:after="20"/>
      </w:pPr>
      <w:r>
        <w:rPr>
          <w:rFonts w:ascii="TNR" w:hAnsi="TNR"/>
          <w:color w:val="222222"/>
          <w:sz w:val="22"/>
        </w:rPr>
        <w:t>*Received: 2026-05-25 &amp;emsp; Revised: TBD*</w:t>
      </w:r>
    </w:p>
    <w:p>
      <w:pPr>
        <w:spacing w:before="20" w:after="20"/>
      </w:pPr>
      <w:r>
        <w:rPr>
          <w:rFonts w:ascii="TNR" w:hAnsi="TNR"/>
          <w:color w:val="222222"/>
          <w:sz w:val="22"/>
        </w:rPr>
        <w:t>*Funding: Chengdu University Quality Course Development Project*</w:t>
      </w:r>
    </w:p>
    <w:p>
      <w:pPr>
        <w:spacing w:before="20" w:after="20"/>
      </w:pPr>
      <w:r>
        <w:rPr>
          <w:rFonts w:ascii="TNR" w:hAnsi="TNR"/>
          <w:color w:val="222222"/>
          <w:sz w:val="22"/>
        </w:rPr>
        <w:t>*Author Biography: HUANG Zhengwen (19XX–), male, Professor, Master's Supervisor. Research interests: Resource and Environmental Inclusive Education. E-mail: xxxx@cdu.edu.cn.*</w:t>
      </w:r>
    </w:p>
    <w:p>
      <w:pPr>
        <w:spacing w:before="20" w:after="20"/>
      </w:pPr>
      <w:r>
        <w:rPr>
          <w:rFonts w:ascii="TNR" w:hAnsi="TNR"/>
          <w:color w:val="222222"/>
          <w:sz w:val="22"/>
        </w:rPr>
        <w:t>*Conflict of Interest Declaration: None.*</w:t>
      </w:r>
    </w:p>
    <w:p>
      <w:r>
        <w:br w:type="page"/>
      </w:r>
    </w:p>
    <w:p>
      <w:pPr>
        <w:spacing w:before="400" w:after="240"/>
        <w:jc w:val="center"/>
      </w:pPr>
      <w:r>
        <w:rPr>
          <w:rFonts w:ascii="TNR" w:hAnsi="TNR"/>
          <w:b/>
          <w:color w:val="1A3A5C"/>
          <w:sz w:val="28"/>
        </w:rPr>
        <w:t>SUBMISSION INFORMATION</w:t>
      </w:r>
    </w:p>
    <w:p>
      <w:pPr>
        <w:spacing w:before="40" w:after="40"/>
      </w:pPr>
      <w:r>
        <w:rPr>
          <w:rFonts w:ascii="Times New Roman" w:hAnsi="Times New Roman"/>
          <w:b/>
          <w:color w:val="5B9BD5"/>
          <w:sz w:val="22"/>
        </w:rPr>
        <w:t xml:space="preserve">TARGET JOURNAL (PRIMARY): </w:t>
      </w:r>
      <w:r>
        <w:rPr>
          <w:rFonts w:ascii="Times New Roman" w:hAnsi="Times New Roman"/>
          <w:color w:val="222222"/>
          <w:sz w:val="22"/>
        </w:rPr>
        <w:t>Pertanika Journal of Social Sciences &amp; Humanities (JSSH)</w:t>
      </w:r>
    </w:p>
    <w:p>
      <w:pPr>
        <w:spacing w:before="40" w:after="40"/>
      </w:pPr>
      <w:r>
        <w:rPr>
          <w:rFonts w:ascii="Times New Roman" w:hAnsi="Times New Roman"/>
          <w:b/>
          <w:color w:val="5B9BD5"/>
          <w:sz w:val="22"/>
        </w:rPr>
        <w:t xml:space="preserve">Country: </w:t>
      </w:r>
      <w:r>
        <w:rPr>
          <w:rFonts w:ascii="Times New Roman" w:hAnsi="Times New Roman"/>
          <w:color w:val="222222"/>
          <w:sz w:val="22"/>
        </w:rPr>
        <w:t>Malaysia</w:t>
      </w:r>
    </w:p>
    <w:p>
      <w:pPr>
        <w:spacing w:before="40" w:after="40"/>
      </w:pPr>
      <w:r>
        <w:rPr>
          <w:rFonts w:ascii="Times New Roman" w:hAnsi="Times New Roman"/>
          <w:b/>
          <w:color w:val="5B9BD5"/>
          <w:sz w:val="22"/>
        </w:rPr>
        <w:t xml:space="preserve">Publisher: </w:t>
      </w:r>
      <w:r>
        <w:rPr>
          <w:rFonts w:ascii="Times New Roman" w:hAnsi="Times New Roman"/>
          <w:color w:val="222222"/>
          <w:sz w:val="22"/>
        </w:rPr>
        <w:t>UPM Press, Universiti Putra Malaysia</w:t>
      </w:r>
    </w:p>
    <w:p>
      <w:pPr>
        <w:spacing w:before="40" w:after="40"/>
      </w:pPr>
      <w:r>
        <w:rPr>
          <w:rFonts w:ascii="Times New Roman" w:hAnsi="Times New Roman"/>
          <w:b/>
          <w:color w:val="5B9BD5"/>
          <w:sz w:val="22"/>
        </w:rPr>
        <w:t xml:space="preserve">ISSN: </w:t>
      </w:r>
      <w:r>
        <w:rPr>
          <w:rFonts w:ascii="Times New Roman" w:hAnsi="Times New Roman"/>
          <w:color w:val="222222"/>
          <w:sz w:val="22"/>
        </w:rPr>
        <w:t>0128-7702</w:t>
      </w:r>
    </w:p>
    <w:p>
      <w:pPr>
        <w:spacing w:before="40" w:after="40"/>
      </w:pPr>
      <w:r>
        <w:rPr>
          <w:rFonts w:ascii="Times New Roman" w:hAnsi="Times New Roman"/>
          <w:b/>
          <w:color w:val="5B9BD5"/>
          <w:sz w:val="22"/>
        </w:rPr>
        <w:t xml:space="preserve">Scopus Quartile: </w:t>
      </w:r>
      <w:r>
        <w:rPr>
          <w:rFonts w:ascii="Times New Roman" w:hAnsi="Times New Roman"/>
          <w:color w:val="222222"/>
          <w:sz w:val="22"/>
        </w:rPr>
        <w:t>Q3</w:t>
      </w:r>
    </w:p>
    <w:p>
      <w:pPr>
        <w:spacing w:before="40" w:after="40"/>
      </w:pPr>
      <w:r>
        <w:rPr>
          <w:rFonts w:ascii="Times New Roman" w:hAnsi="Times New Roman"/>
          <w:b/>
          <w:color w:val="5B9BD5"/>
          <w:sz w:val="22"/>
        </w:rPr>
        <w:t xml:space="preserve">Indexing: </w:t>
      </w:r>
      <w:r>
        <w:rPr>
          <w:rFonts w:ascii="Times New Roman" w:hAnsi="Times New Roman"/>
          <w:color w:val="222222"/>
          <w:sz w:val="22"/>
        </w:rPr>
        <w:t>Scopus, Web of Science (ESCI), MyCite</w:t>
      </w:r>
    </w:p>
    <w:p>
      <w:pPr>
        <w:spacing w:before="40" w:after="40"/>
      </w:pPr>
      <w:r>
        <w:rPr>
          <w:rFonts w:ascii="Times New Roman" w:hAnsi="Times New Roman"/>
          <w:b/>
          <w:color w:val="5B9BD5"/>
          <w:sz w:val="22"/>
        </w:rPr>
        <w:t xml:space="preserve">Submission URL: </w:t>
      </w:r>
      <w:r>
        <w:rPr>
          <w:rFonts w:ascii="Times New Roman" w:hAnsi="Times New Roman"/>
          <w:color w:val="222222"/>
          <w:sz w:val="22"/>
        </w:rPr>
        <w:t>http://www.pertanika.upm.edu.my/JSSH/</w:t>
      </w:r>
    </w:p>
    <w:p>
      <w:pPr>
        <w:spacing w:before="40" w:after="40"/>
      </w:pPr>
      <w:r>
        <w:rPr>
          <w:rFonts w:ascii="Times New Roman" w:hAnsi="Times New Roman"/>
          <w:b/>
          <w:color w:val="5B9BD5"/>
          <w:sz w:val="22"/>
        </w:rPr>
        <w:t xml:space="preserve">Reference Style: </w:t>
      </w:r>
      <w:r>
        <w:rPr>
          <w:rFonts w:ascii="Times New Roman" w:hAnsi="Times New Roman"/>
          <w:color w:val="222222"/>
          <w:sz w:val="22"/>
        </w:rPr>
        <w:t>APA 7th</w:t>
      </w:r>
    </w:p>
    <w:p>
      <w:pPr>
        <w:spacing w:before="40" w:after="40"/>
      </w:pPr>
      <w:r>
        <w:rPr>
          <w:rFonts w:ascii="Times New Roman" w:hAnsi="Times New Roman"/>
          <w:b/>
          <w:color w:val="5B9BD5"/>
          <w:sz w:val="22"/>
        </w:rPr>
        <w:t xml:space="preserve">Line Spacing: </w:t>
      </w:r>
      <w:r>
        <w:rPr>
          <w:rFonts w:ascii="Times New Roman" w:hAnsi="Times New Roman"/>
          <w:color w:val="222222"/>
          <w:sz w:val="22"/>
        </w:rPr>
        <w:t>double</w:t>
      </w:r>
    </w:p>
    <w:p>
      <w:pPr>
        <w:spacing w:before="40" w:after="40"/>
      </w:pPr>
      <w:r>
        <w:rPr>
          <w:rFonts w:ascii="Times New Roman" w:hAnsi="Times New Roman"/>
          <w:b/>
          <w:color w:val="5B9BD5"/>
          <w:sz w:val="22"/>
        </w:rPr>
        <w:t xml:space="preserve">Abstract: </w:t>
      </w:r>
      <w:r>
        <w:rPr>
          <w:rFonts w:ascii="Times New Roman" w:hAnsi="Times New Roman"/>
          <w:color w:val="222222"/>
          <w:sz w:val="22"/>
        </w:rPr>
        <w:t>200-300 words</w:t>
      </w:r>
    </w:p>
    <w:p>
      <w:pPr>
        <w:spacing w:before="40" w:after="40"/>
      </w:pPr>
      <w:r>
        <w:rPr>
          <w:rFonts w:ascii="Times New Roman" w:hAnsi="Times New Roman"/>
          <w:b/>
          <w:color w:val="5B9BD5"/>
          <w:sz w:val="22"/>
        </w:rPr>
        <w:t xml:space="preserve">Keywords: </w:t>
      </w:r>
      <w:r>
        <w:rPr>
          <w:rFonts w:ascii="Times New Roman" w:hAnsi="Times New Roman"/>
          <w:color w:val="222222"/>
          <w:sz w:val="22"/>
        </w:rPr>
        <w:t>5-8</w:t>
      </w:r>
    </w:p>
    <w:p>
      <w:pPr>
        <w:spacing w:before="40" w:after="40"/>
      </w:pPr>
      <w:r>
        <w:rPr>
          <w:rFonts w:ascii="Times New Roman" w:hAnsi="Times New Roman"/>
          <w:b/>
          <w:color w:val="5B9BD5"/>
          <w:sz w:val="22"/>
        </w:rPr>
        <w:t xml:space="preserve">Review Type: </w:t>
      </w:r>
      <w:r>
        <w:rPr>
          <w:rFonts w:ascii="Times New Roman" w:hAnsi="Times New Roman"/>
          <w:color w:val="222222"/>
          <w:sz w:val="22"/>
        </w:rPr>
        <w:t>Double-blind</w:t>
      </w:r>
    </w:p>
    <w:p>
      <w:pPr>
        <w:spacing w:before="40" w:after="40"/>
      </w:pPr>
      <w:r>
        <w:rPr>
          <w:rFonts w:ascii="Times New Roman" w:hAnsi="Times New Roman"/>
          <w:b/>
          <w:color w:val="5B9BD5"/>
          <w:sz w:val="22"/>
        </w:rPr>
        <w:t xml:space="preserve">APC: </w:t>
      </w:r>
      <w:r>
        <w:rPr>
          <w:rFonts w:ascii="Times New Roman" w:hAnsi="Times New Roman"/>
          <w:color w:val="222222"/>
          <w:sz w:val="22"/>
        </w:rPr>
        <w:t>Free (UPM-funded)</w:t>
      </w:r>
    </w:p>
    <w:p>
      <w:pPr>
        <w:spacing w:before="40" w:after="40"/>
      </w:pPr>
      <w:r>
        <w:rPr>
          <w:rFonts w:ascii="Times New Roman" w:hAnsi="Times New Roman"/>
          <w:b/>
          <w:color w:val="5B9BD5"/>
          <w:sz w:val="22"/>
        </w:rPr>
        <w:t xml:space="preserve">Frequency: </w:t>
      </w:r>
      <w:r>
        <w:rPr>
          <w:rFonts w:ascii="Times New Roman" w:hAnsi="Times New Roman"/>
          <w:color w:val="222222"/>
          <w:sz w:val="22"/>
        </w:rPr>
        <w:t>4 issues/year</w:t>
      </w:r>
    </w:p>
    <w:p>
      <w:pPr>
        <w:spacing w:before="280" w:after="80"/>
      </w:pPr>
      <w:r>
        <w:rPr>
          <w:rFonts w:ascii="TNR" w:hAnsi="TNR"/>
          <w:color w:val="222222"/>
          <w:sz w:val="12"/>
        </w:rPr>
      </w:r>
    </w:p>
    <w:p>
      <w:pPr>
        <w:spacing w:before="200" w:after="40"/>
      </w:pPr>
      <w:r>
        <w:rPr>
          <w:rFonts w:ascii="TNR" w:hAnsi="TNR"/>
          <w:b/>
          <w:color w:val="5B9BD5"/>
          <w:sz w:val="24"/>
        </w:rPr>
        <w:t>BACKUP JOURNAL</w:t>
      </w:r>
    </w:p>
    <w:p>
      <w:r>
        <w:rPr>
          <w:color w:val="222222"/>
          <w:sz w:val="22"/>
        </w:rPr>
        <w:t>Kasetsart Journal of Social Sciences (Thailand)</w:t>
      </w:r>
    </w:p>
    <w:p>
      <w:pPr>
        <w:spacing w:before="0" w:after="80"/>
      </w:pPr>
      <w:r>
        <w:rPr>
          <w:rFonts w:ascii="TNR" w:hAnsi="TNR"/>
          <w:color w:val="777777"/>
          <w:sz w:val="20"/>
        </w:rPr>
        <w:t>URL: https://so04.tci-thaijo.org/index.php/kjss</w:t>
      </w:r>
    </w:p>
    <w:p>
      <w:pPr>
        <w:spacing w:before="280" w:after="80"/>
      </w:pPr>
      <w:r>
        <w:rPr>
          <w:rFonts w:ascii="TNR" w:hAnsi="TNR"/>
          <w:color w:val="222222"/>
          <w:sz w:val="12"/>
        </w:rPr>
      </w:r>
    </w:p>
    <w:p>
      <w:pPr>
        <w:spacing w:before="200" w:after="40"/>
      </w:pPr>
      <w:r>
        <w:rPr>
          <w:rFonts w:ascii="TNR" w:hAnsi="TNR"/>
          <w:b/>
          <w:color w:val="5B9BD5"/>
          <w:sz w:val="24"/>
        </w:rPr>
        <w:t>SUBMISSION NOTES</w:t>
      </w:r>
    </w:p>
    <w:p>
      <w:pPr>
        <w:spacing w:before="0" w:after="40"/>
      </w:pPr>
      <w:r>
        <w:rPr>
          <w:rFonts w:ascii="TNR" w:hAnsi="TNR"/>
          <w:color w:val="777777"/>
          <w:sz w:val="20"/>
        </w:rPr>
        <w:t>- Authors listed as: XIE Zeyu (Shinawatra University), Co-author (Chengdu University), HUANG Zhengwen* (Corresponding Author, Chengdu University)</w:t>
      </w:r>
    </w:p>
    <w:p>
      <w:pPr>
        <w:spacing w:before="0" w:after="40"/>
      </w:pPr>
      <w:r>
        <w:rPr>
          <w:rFonts w:ascii="TNR" w:hAnsi="TNR"/>
          <w:color w:val="777777"/>
          <w:sz w:val="20"/>
        </w:rPr>
        <w:t>- Manuscript adheres to IMRaD structure as required by the journal.</w:t>
      </w:r>
    </w:p>
    <w:p>
      <w:pPr>
        <w:spacing w:before="0" w:after="40"/>
      </w:pPr>
      <w:r>
        <w:rPr>
          <w:rFonts w:ascii="TNR" w:hAnsi="TNR"/>
          <w:color w:val="777777"/>
          <w:sz w:val="20"/>
        </w:rPr>
        <w:t>- All data sourced from the graduate course demo portal at https://zhengwen69.github.io/cdu-gufei-web-demo/</w:t>
      </w:r>
    </w:p>
    <w:p>
      <w:pPr>
        <w:spacing w:before="0" w:after="40"/>
      </w:pPr>
      <w:r>
        <w:rPr>
          <w:rFonts w:ascii="TNR" w:hAnsi="TNR"/>
          <w:color w:val="777777"/>
          <w:sz w:val="20"/>
        </w:rPr>
        <w:t>- No funding conflict declared. Ethics approval not required (educational methodology research).</w:t>
      </w:r>
    </w:p>
    <w:p>
      <w:pPr>
        <w:spacing w:before="0" w:after="40"/>
      </w:pPr>
      <w:r>
        <w:rPr>
          <w:rFonts w:ascii="TNR" w:hAnsi="TNR"/>
          <w:color w:val="777777"/>
          <w:sz w:val="20"/>
        </w:rPr>
        <w:t>- Pre-submission: Verify manuscript formatting against latest journal template and author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