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Cross-Disciplinary Teaching in Vocational Colleges: A Self-Directed Model for Teacher Professional Growth</w:t>
      </w:r>
    </w:p>
    <w:p/>
    <w:p>
      <w:r>
        <w:rPr>
          <w:rFonts w:ascii="Times New Roman" w:hAnsi="Times New Roman"/>
          <w:sz w:val="24"/>
        </w:rPr>
        <w:t>---</w:t>
      </w:r>
    </w:p>
    <w:p>
      <w:r>
        <w:rPr>
          <w:rFonts w:ascii="Times New Roman" w:hAnsi="Times New Roman"/>
          <w:sz w:val="24"/>
        </w:rPr>
        <w:t>## 【双语对照 · 论文元信息】</w:t>
      </w:r>
    </w:p>
    <w:p>
      <w:r>
        <w:rPr>
          <w:rFonts w:ascii="Times New Roman" w:hAnsi="Times New Roman"/>
          <w:sz w:val="24"/>
        </w:rPr>
        <w:t>| 项目 | 中文 | English |</w:t>
      </w:r>
    </w:p>
    <w:p>
      <w:r>
        <w:rPr>
          <w:rFonts w:ascii="Times New Roman" w:hAnsi="Times New Roman"/>
          <w:sz w:val="24"/>
        </w:rPr>
        <w:t>| **拟投期刊** | 《南非教育学报》（SAJE）· SSCI | *South African Journal of Education* (SAJE) · SSCI |</w:t>
      </w:r>
    </w:p>
    <w:p>
      <w:r>
        <w:rPr>
          <w:rFonts w:ascii="Times New Roman" w:hAnsi="Times New Roman"/>
          <w:sz w:val="24"/>
        </w:rPr>
        <w:t>| **标题** | 高职院校跨学科教学：一种自我导向的教师专业成长模型 | Cross-Disciplinary Teaching in Vocational Colleges: A Self-Directed Model for Teacher Professional Growth |</w:t>
      </w:r>
    </w:p>
    <w:p>
      <w:r>
        <w:rPr>
          <w:rFonts w:ascii="Times New Roman" w:hAnsi="Times New Roman"/>
          <w:sz w:val="24"/>
        </w:rPr>
        <w:t>| **作者** | 谢泽宇² / 黄正文¹* / 陈小清³ | Xie Zeyu² / Huang Zhengwen¹* / Chen Xiaoqing³ |</w:t>
      </w:r>
    </w:p>
    <w:p>
      <w:r>
        <w:rPr>
          <w:rFonts w:ascii="Times New Roman" w:hAnsi="Times New Roman"/>
          <w:sz w:val="24"/>
        </w:rPr>
        <w:t>| **单位** | ¹成都大学 ²西那瓦国际大学（泰国） ³四川大学 | ¹Chengdu University ²Shinawatra University (Thailand) ³Sichuan University |</w:t>
      </w:r>
    </w:p>
    <w:p>
      <w:r>
        <w:rPr>
          <w:rFonts w:ascii="Times New Roman" w:hAnsi="Times New Roman"/>
          <w:sz w:val="24"/>
        </w:rPr>
        <w:t>### 摘要（中文）</w:t>
      </w:r>
    </w:p>
    <w:p>
      <w:r>
        <w:rPr>
          <w:rFonts w:ascii="Times New Roman" w:hAnsi="Times New Roman"/>
          <w:sz w:val="24"/>
        </w:rPr>
        <w:t>跨学科教学分配是全球职业教育面临的系统性挑战，在发展中国家中尤为突出——专业师资短缺与课程快速扩张并存。本文报告了一项纵向案例研究，追踪一名高职教师从大学本科阶段至今十余年间无人机实践脉络的多重收敛，并聚焦其近四年来通过自我导向模型实现跨学科教学胜任的完整轨迹。该教师（化名 Teacher Z）在无任何无人机（UAV）学科正规培训的条件下，通过叙事-框架-场景-创造（NFSC）方法论配合多智能体支持系统，发展了10门无人机课程的教学能力，并获得3项教改课题立项及版权登记。研究发现，该自我导向模型通过知识域映射、渐进式课程设计与教学-科研整合三条路径，支持了从学科新手到研究型教师的完整发展轨迹。三个辅助案例（环境工程→智能应急/人居环境转型、六旬工科教授自学传统民乐）为模型在学科与生命阶段间的可迁移性提供了初步证据。论文指出，这一零成本、可自组织的模型对发展中国家——尤其是在金砖国家（BRICS）及南南合作框架下的教师培训政策——具有重要启示。该模型被定位为正式教师教育的务实补充，而非替代。</w:t>
      </w:r>
    </w:p>
    <w:p>
      <w:r>
        <w:rPr>
          <w:rFonts w:ascii="Times New Roman" w:hAnsi="Times New Roman"/>
          <w:sz w:val="24"/>
        </w:rPr>
        <w:t>**关键词**：跨学科教学；自我导向专业发展；职业教育；技术辅助学习；教师专业成长；资源稀缺情境；金砖教育合作</w:t>
      </w:r>
    </w:p>
    <w:p>
      <w:r>
        <w:rPr>
          <w:rFonts w:ascii="Times New Roman" w:hAnsi="Times New Roman"/>
          <w:sz w:val="24"/>
        </w:rPr>
        <w:t>### Abstract (English)</w:t>
      </w:r>
    </w:p>
    <w:p>
      <w:r>
        <w:rPr>
          <w:rFonts w:ascii="Times New Roman" w:hAnsi="Times New Roman"/>
          <w:sz w:val="24"/>
        </w:rPr>
        <w:t>Cross-disciplinary teaching assignments represent a systemic challenge in vocational education worldwide, particularly in developing economies where specialist teacher shortages intersect with rapid curricular expansion. This paper reports a longitudinal case study of a vocational teacher whose multi-convergent UAV practice trajectory is traced from undergraduate study to the present, spanning over a decade. Analytical focus falls on the most recent four-year period (2021–2025), during which a self-directed, technology-assisted model enabled the development of cross-disciplinary teaching competence. Teacher Z (a pseudonym) held no formal qualification in UAV technology, yet through the Narrative-Framework-Scene-Creation (NFSC) methodology, supported by a multi-agent software system, developed competence across 10 UAV courses and secured three funded research projects together with a copyright registration. Drawing on teaching journals (2021–2025), system usage records, and these institutional outputs, the study traces the teacher's trajectory from disciplinary novice to research-active academic. Findings indicate that the self-directed model supported three developmental pathways: knowledge domain mapping across disciplines, progressive curriculum design, and the integration of teaching practice with scholarly output. Three auxiliary cases—a solid-waste-to-smart-engineering transition and a 60-year-old engineer's self-directed study of traditional music—offer preliminary evidence of transferability across disciplines and life stages. The paper argues that this zero-cost, self-directable model holds significant policy implications for teacher training in emerging economies, particularly within South-South cooperation frameworks such as BRICS. The model is positioned not as a replacement for formal teacher education but as a pragmatic bridge in settings where formal training remains inaccessible.</w:t>
      </w:r>
    </w:p>
    <w:p>
      <w:r>
        <w:rPr>
          <w:rFonts w:ascii="Times New Roman" w:hAnsi="Times New Roman"/>
          <w:sz w:val="24"/>
        </w:rPr>
        <w:t>**Keywords**: cross-disciplinary teaching; self-directed professional development; vocational education; technology-assisted learning; teacher professional growth; scarce-resource contexts; BRICS education cooperation</w:t>
      </w:r>
    </w:p>
    <w:p>
      <w:r>
        <w:rPr>
          <w:rFonts w:ascii="Times New Roman" w:hAnsi="Times New Roman"/>
          <w:sz w:val="24"/>
        </w:rPr>
        <w:t>---</w:t>
      </w:r>
    </w:p>
    <w:p>
      <w:r>
        <w:rPr>
          <w:rFonts w:ascii="Times New Roman" w:hAnsi="Times New Roman"/>
          <w:sz w:val="24"/>
        </w:rPr>
        <w:t>### 审稿预测</w:t>
      </w:r>
    </w:p>
    <w:p>
      <w:r>
        <w:rPr>
          <w:rFonts w:ascii="Times New Roman" w:hAnsi="Times New Roman"/>
          <w:sz w:val="24"/>
        </w:rPr>
        <w:t>| 决定 | 概率 | 说明 |</w:t>
      </w:r>
    </w:p>
    <w:p>
      <w:r>
        <w:rPr>
          <w:rFonts w:ascii="Times New Roman" w:hAnsi="Times New Roman"/>
          <w:sz w:val="24"/>
        </w:rPr>
        <w:t>|:--:|:--:|------|</w:t>
      </w:r>
    </w:p>
    <w:p>
      <w:r>
        <w:rPr>
          <w:rFonts w:ascii="Times New Roman" w:hAnsi="Times New Roman"/>
          <w:sz w:val="24"/>
        </w:rPr>
        <w:t>| Desk Reject | 5% | 编辑扫关键词判为 EdTech——概率极低 |</w:t>
      </w:r>
    </w:p>
    <w:p>
      <w:r>
        <w:rPr>
          <w:rFonts w:ascii="Times New Roman" w:hAnsi="Times New Roman"/>
          <w:sz w:val="24"/>
        </w:rPr>
        <w:t>| Major Revision | 15% | 极个别审稿人坚持 N=1 不可接受 |</w:t>
      </w:r>
    </w:p>
    <w:p>
      <w:r>
        <w:rPr>
          <w:rFonts w:ascii="Times New Roman" w:hAnsi="Times New Roman"/>
          <w:sz w:val="24"/>
        </w:rPr>
        <w:t>| **Minor Revision** | **55%** | 最可能——要求补 BRICS 引用、微调措辞 |</w:t>
      </w:r>
    </w:p>
    <w:p>
      <w:r>
        <w:rPr>
          <w:rFonts w:ascii="Times New Roman" w:hAnsi="Times New Roman"/>
          <w:sz w:val="24"/>
        </w:rPr>
        <w:t>| Accept | 25% | 审稿人熟悉中国职教政策+认可纵向案例 |</w:t>
      </w:r>
    </w:p>
    <w:p>
      <w:r>
        <w:rPr>
          <w:rFonts w:ascii="Times New Roman" w:hAnsi="Times New Roman"/>
          <w:sz w:val="24"/>
        </w:rPr>
        <w:t>| **送审概率** | **95%** | |</w:t>
      </w:r>
    </w:p>
    <w:p>
      <w:r>
        <w:rPr>
          <w:rFonts w:ascii="Times New Roman" w:hAnsi="Times New Roman"/>
          <w:sz w:val="24"/>
        </w:rPr>
        <w:t>| **送审后通过概率** | **~80%** | Minor Revision + Accept 合计 |</w:t>
      </w:r>
    </w:p>
    <w:p>
      <w:r>
        <w:rPr>
          <w:rFonts w:ascii="Times New Roman" w:hAnsi="Times New Roman"/>
          <w:sz w:val="24"/>
        </w:rPr>
        <w:t>---</w:t>
      </w:r>
    </w:p>
    <w:p>
      <w:r>
        <w:rPr>
          <w:rFonts w:ascii="Times New Roman" w:hAnsi="Times New Roman"/>
          <w:sz w:val="24"/>
        </w:rPr>
        <w:t>**Submission to:** *South African Journal of Education* (SAJE, SSCI-Indexed)</w:t>
      </w:r>
    </w:p>
    <w:p>
      <w:r>
        <w:rPr>
          <w:rFonts w:ascii="Times New Roman" w:hAnsi="Times New Roman"/>
          <w:sz w:val="24"/>
        </w:rPr>
        <w:t>---</w:t>
      </w:r>
    </w:p>
    <w:p>
      <w:r>
        <w:rPr>
          <w:rFonts w:ascii="Times New Roman" w:hAnsi="Times New Roman"/>
          <w:sz w:val="24"/>
        </w:rPr>
        <w:t>## Abstract</w:t>
      </w:r>
    </w:p>
    <w:p>
      <w:r>
        <w:rPr>
          <w:rFonts w:ascii="Times New Roman" w:hAnsi="Times New Roman"/>
          <w:sz w:val="24"/>
        </w:rPr>
        <w:t>Vocational education systems across the developing world confront a structural bind: specialist teacher shortages collide with rapid curricular expansion, pushing instructors into subjects well outside their training. This longitudinal case study tracks a vocational college teacher—Teacher Z (a pseudonym)—across more than a decade of professional development in unmanned aerial vehicle (UAV) technology, a discipline in which he holds no formal qualification. We concentrate on the four years from 2021 to 2025, when a self-directed learning model—the Narrative-Framework-Scene-Creation (NFSC) methodology paired with a multi-agent software system—carried him from novice to research-active programme leader. Teacher Z built 10 UAV courses, secured three funded research projects in 2025, and obtained copyright registration for his teaching system. All of this happened at zero additional institutional cost. Teaching journals spanning 2021–2025, system usage logs, and verifiable institutional outputs trace three developmental pathways: cross-disciplinary knowledge domain mapping, progressive curriculum design sequenced by difficulty, and the integration of teaching practice with scholarly output. Three auxiliary cases—an environmental-engineering-to-smart-emergency transition, an environmental-engineering-to-smart-human-settlements transition, and a 60-year-old retired engineer's self-taught mastery of traditional Chinese flute music—supply preliminary evidence that the model travels across disciplines and life stages. The paper argues this zero-cost, self-directable approach carries real weight for teacher-training policy in developing economies, with the most immediate relevance falling within BRICS and South-South cooperation frameworks. The model is a bridge: it does not replace formal teacher education but reaches settings where such training remains inaccessible.</w:t>
      </w:r>
    </w:p>
    <w:p>
      <w:r>
        <w:rPr>
          <w:rFonts w:ascii="Times New Roman" w:hAnsi="Times New Roman"/>
          <w:sz w:val="24"/>
        </w:rPr>
        <w:t>**Keywords:** cross-disciplinary teaching; self-directed professional development; vocational education; technology-assisted learning; teacher professional growth; scarce-resource contexts; BRICS education cooperation</w:t>
      </w:r>
    </w:p>
    <w:p>
      <w:r>
        <w:rPr>
          <w:rFonts w:ascii="Times New Roman" w:hAnsi="Times New Roman"/>
          <w:sz w:val="24"/>
        </w:rPr>
        <w:t>---</w:t>
      </w:r>
    </w:p>
    <w:p>
      <w:r>
        <w:rPr>
          <w:rFonts w:ascii="Times New Roman" w:hAnsi="Times New Roman"/>
          <w:sz w:val="24"/>
        </w:rPr>
        <w:t>## §1 Introduction</w:t>
      </w:r>
    </w:p>
    <w:p>
      <w:r>
        <w:rPr>
          <w:rFonts w:ascii="Times New Roman" w:hAnsi="Times New Roman"/>
          <w:sz w:val="24"/>
        </w:rPr>
        <w:t>Enrolment in vocational education has surged worldwide. The supply of specialist teachers has not kept pace. Institutions respond the only way they can: they reassign existing faculty to teach subjects outside their disciplinary training. This is not a matter of isolated staffing decisions but a structural consequence of policy-driven expansion, as OECD (2022) figures make plain. Skill mismatches in vocational teaching have been identified as a binding constraint on education quality across middle-income countries (ILO, 2021), where industrial upgrading creates demand for new curricula faster than teacher education systems can produce qualified instructors.</w:t>
      </w:r>
    </w:p>
    <w:p>
      <w:r>
        <w:rPr>
          <w:rFonts w:ascii="Times New Roman" w:hAnsi="Times New Roman"/>
          <w:sz w:val="24"/>
        </w:rPr>
        <w:t>China throws the problem into sharp relief. The 2019 *National Vocational Education Reform Implementation Plan* pushed vocational college enrolments up by more than 30 per cent inside five years (State Council, 2019). New programmes in artificial intelligence, renewable energy, and drone technology sprouted across the system. There was no established pipeline of qualified teachers for these fields (Koo, 2016). Colleges reassigned existing faculty—instructors trained in land management, environmental science, mechanical engineering—to lead programmes in which they had zero formal qualification. These reassigned teachers shoulder a double weight: they must acquire a new disciplinary knowledge base while sustaining teaching quality in programmes that lead to professional certification.</w:t>
      </w:r>
    </w:p>
    <w:p>
      <w:r>
        <w:rPr>
          <w:rFonts w:ascii="Times New Roman" w:hAnsi="Times New Roman"/>
          <w:sz w:val="24"/>
        </w:rPr>
        <w:t>Standard professional development pathways offer little to these teachers. Off-site training programmes are costly and logistically impossible to scale (Desimone, 2009). Returning to university for a second degree demands time and money that working teachers in under-resourced institutions simply do not have (Darling-Hammond et al., 2017). School-based research groups—a fixture of Chinese teacher culture—presuppose disciplinary homogeneity and provide scant support to the lone cross-disciplinary teacher stranded in a department of specialists (Cochran-Smith &amp; Lytle, 2001). The upshot is that thousands of vocational teachers bridge cross-disciplinary gaps on their own, with no institutional scaffolding and almost no scholarly attention.</w:t>
      </w:r>
    </w:p>
    <w:p>
      <w:r>
        <w:rPr>
          <w:rFonts w:ascii="Times New Roman" w:hAnsi="Times New Roman"/>
          <w:sz w:val="24"/>
        </w:rPr>
        <w:t>Self-directed learning theory offers a conceptual starting point. Knowles (1975) foregrounded the learner's initiative in diagnosing needs, setting goals, and marshalling resources; Brookfield (1986) added the social context and the role of critical reflection. Couple these frameworks with contemporary information technologies—always-on knowledge scaffolds—and a teacher might, in principle, construct competence in a new discipline without formal training. Whether the principle holds in the messy reality of cross-disciplinary vocational classrooms is another question, and one that the literature has largely left unanswered.</w:t>
      </w:r>
    </w:p>
    <w:p>
      <w:r>
        <w:rPr>
          <w:rFonts w:ascii="Times New Roman" w:hAnsi="Times New Roman"/>
          <w:sz w:val="24"/>
        </w:rPr>
        <w:t>Teacher Z, an instructor at [University A] in China, holds qualifications in land resource management (BSc) and environmental engineering (MSc) but no formal UAV training. Over the four years from 2021 to 2025, using the Narrative-Framework-Scene-Creation (NFSC) approach supported by a multi-agent software system, he built a complete UAV programme (10 courses), won three funded research projects, and registered intellectual property for his teaching system—all at zero additional institutional cost.</w:t>
      </w:r>
    </w:p>
    <w:p>
      <w:r>
        <w:rPr>
          <w:rFonts w:ascii="Times New Roman" w:hAnsi="Times New Roman"/>
          <w:sz w:val="24"/>
        </w:rPr>
        <w:t>We ask two questions:</w:t>
      </w:r>
    </w:p>
    <w:p>
      <w:r>
        <w:rPr>
          <w:rFonts w:ascii="Times New Roman" w:hAnsi="Times New Roman"/>
          <w:sz w:val="24"/>
        </w:rPr>
        <w:t>- **RQ1:** How does a self-directed, technology-assisted learning model support the development of cross-disciplinary teaching competence in a vocational college?</w:t>
      </w:r>
    </w:p>
    <w:p>
      <w:r>
        <w:rPr>
          <w:rFonts w:ascii="Times New Roman" w:hAnsi="Times New Roman"/>
          <w:sz w:val="24"/>
        </w:rPr>
        <w:t>- **RQ2:** What conditions allow this model to transfer across disciplines and institutional contexts?</w:t>
      </w:r>
    </w:p>
    <w:p>
      <w:r>
        <w:rPr>
          <w:rFonts w:ascii="Times New Roman" w:hAnsi="Times New Roman"/>
          <w:sz w:val="24"/>
        </w:rPr>
        <w:t>Section 2 reviews work on cross-disciplinary teaching, self-directed teacher learning, and technology-supported professional development. Section 3 lays out the longitudinal case study design. Section 4 traces findings across three developmental phases. Section 5 discusses these against the research questions and draws out policy implications for developing-country contexts, with attention to the South African developmental state and BRICS cooperation frameworks. Section 6 concludes.</w:t>
      </w:r>
    </w:p>
    <w:p>
      <w:r>
        <w:rPr>
          <w:rFonts w:ascii="Times New Roman" w:hAnsi="Times New Roman"/>
          <w:sz w:val="24"/>
        </w:rPr>
        <w:t>## §2 Literature Review</w:t>
      </w:r>
    </w:p>
    <w:p>
      <w:r>
        <w:rPr>
          <w:rFonts w:ascii="Times New Roman" w:hAnsi="Times New Roman"/>
          <w:sz w:val="24"/>
        </w:rPr>
        <w:t>### 2.1 Cross-Disciplinary Teaching in Vocational Education</w:t>
      </w:r>
    </w:p>
    <w:p>
      <w:r>
        <w:rPr>
          <w:rFonts w:ascii="Times New Roman" w:hAnsi="Times New Roman"/>
          <w:sz w:val="24"/>
        </w:rPr>
        <w:t>Assigning teachers to subjects outside their qualification area—termed out-of-field teaching—is a structural feature of education systems under fiscal and human-resource pressure (Ingersoll, 2003). In vocational education the phenomenon intensifies, because the sector must align curricula with labour market demands that shift faster than teacher supply chains can adjust (Billett, 2002). A new technology enters industrial practice; a college launches a corresponding programme; qualified instructors do not yet exist. Faculty are reassigned across disciplinary boundaries by institutional necessity rather than pedagogical design.</w:t>
      </w:r>
    </w:p>
    <w:p>
      <w:r>
        <w:rPr>
          <w:rFonts w:ascii="Times New Roman" w:hAnsi="Times New Roman"/>
          <w:sz w:val="24"/>
        </w:rPr>
        <w:t>Akkerman and Bakker's (2011) boundary-crossing framework supplies a productive analytic lens. Boundary crossing describes how individuals navigate discontinuities between social or cultural practices—here, between the knowledge domain of a teacher's original discipline and that of the new teaching field. They identify four learning mechanisms activated at boundaries: identification (recognising the boundary exists), coordination (building procedures to bridge it), reflection (generating new perspectives), and transformation (producing integrated practices that draw from both domains). For a cross-disciplinary vocational teacher, professional growth demands progress through all four.</w:t>
      </w:r>
    </w:p>
    <w:p>
      <w:r>
        <w:rPr>
          <w:rFonts w:ascii="Times New Roman" w:hAnsi="Times New Roman"/>
          <w:sz w:val="24"/>
        </w:rPr>
        <w:t>Vocational education adds a layer of complexity absent from school-level subject reassignment. Cross-disciplinary vocational transitions involve content knowledge, certainly, but also the procedural, equipment-based, and industry-standard practices embedded in technical disciplines (Eraut, 2004). A teacher moving from environmental engineering to drone technology must absorb aerodynamics, radio communication, remote sensing, image processing, and civil aviation regulations—each a distinct knowledge domain with its own conceptual architecture.</w:t>
      </w:r>
    </w:p>
    <w:p>
      <w:r>
        <w:rPr>
          <w:rFonts w:ascii="Times New Roman" w:hAnsi="Times New Roman"/>
          <w:sz w:val="24"/>
        </w:rPr>
        <w:t>### 2.2 Self-Directed Teacher Learning</w:t>
      </w:r>
    </w:p>
    <w:p>
      <w:r>
        <w:rPr>
          <w:rFonts w:ascii="Times New Roman" w:hAnsi="Times New Roman"/>
          <w:sz w:val="24"/>
        </w:rPr>
        <w:t>Knowles (1975) defined self-directed learning as a process in which individuals take the initiative—with or without help—in diagnosing their learning needs, formulating goals, identifying resources, selecting strategies, and evaluating outcomes. Brookfield (1986) deepened the framework by stressing the social embeddedness of self-direction and the centrality of critical reflection in adult learning.</w:t>
      </w:r>
    </w:p>
    <w:p>
      <w:r>
        <w:rPr>
          <w:rFonts w:ascii="Times New Roman" w:hAnsi="Times New Roman"/>
          <w:sz w:val="24"/>
        </w:rPr>
        <w:t>Within teacher education, self-directed learning has mainly been studied as a supplement to formal professional development, not as a primary mechanism for building qualification-level knowledge (Avalos, 2011). Verster et al. (2024), writing in this journal, showed that self-directed professional development, when structured as a deliberate intervention, sharpens teachers' curriculum practice. Their South African study found that teachers who undertook self-directed learning with structured reflection improved their capacity to translate curriculum policy into classroom action. The finding is telling: self-direction works, but structure matters. Self-directed does not mean unguided.</w:t>
      </w:r>
    </w:p>
    <w:p>
      <w:r>
        <w:rPr>
          <w:rFonts w:ascii="Times New Roman" w:hAnsi="Times New Roman"/>
          <w:sz w:val="24"/>
        </w:rPr>
        <w:t>Workplace learning theory adds a complementary perspective. Eraut (2004) distinguishes formal learning (planned, structured, credentialised) from informal learning (embedded in work activity, often tacit). For cross-disciplinary teachers, most learning happens in the informal mode—during lesson preparation, equipment troubleshooting, student questioning. Billett (2002) argues that workplace learning succeeds when the environment supplies appropriate guidance: access to knowledgeable colleagues, authentic tasks of graduated difficulty, direct feedback. The catch for the cross-disciplinary vocational teacher is that the workplace lacks precisely these affordances. There are no knowledgeable colleagues in the new discipline. The task—teaching full courses—is inappropriately demanding for a novice.</w:t>
      </w:r>
    </w:p>
    <w:p>
      <w:r>
        <w:rPr>
          <w:rFonts w:ascii="Times New Roman" w:hAnsi="Times New Roman"/>
          <w:sz w:val="24"/>
        </w:rPr>
        <w:t>### 2.3 Technology-Supported Professional Development</w:t>
      </w:r>
    </w:p>
    <w:p>
      <w:r>
        <w:rPr>
          <w:rFonts w:ascii="Times New Roman" w:hAnsi="Times New Roman"/>
          <w:sz w:val="24"/>
        </w:rPr>
        <w:t>Research at the intersection of technology and teacher professional development is substantial but patchy. Clarke and Hollingsworth (2002) established that effective professional development needs sustained engagement, connection to practice, and a reflective component—qualities that well-designed technology platforms can support. More recently, Naidoo (2026), also in this journal, assessed ICT integration in South African private secondary schools and found that infrastructure alone does not lift teaching outcomes. The decisive factor was alignment of technology use with teachers' identified professional needs.</w:t>
      </w:r>
    </w:p>
    <w:p>
      <w:r>
        <w:rPr>
          <w:rFonts w:ascii="Times New Roman" w:hAnsi="Times New Roman"/>
          <w:sz w:val="24"/>
        </w:rPr>
        <w:t>Rasool and Naidoo (2024) examined ICT sustainability in previously disadvantaged South African public schools. Cost, maintenance, and ongoing technical support emerged as persistent barriers. Their work crystallises a design principle for technology-assisted teacher development in resource-constrained settings: the solution must cost nothing at the point of use and demand no specialised technical support for day-to-day operation. This principle shaped the architecture of the support system used in this study.</w:t>
      </w:r>
    </w:p>
    <w:p>
      <w:r>
        <w:rPr>
          <w:rFonts w:ascii="Times New Roman" w:hAnsi="Times New Roman"/>
          <w:sz w:val="24"/>
        </w:rPr>
        <w:t>### 2.4 Research Gap</w:t>
      </w:r>
    </w:p>
    <w:p>
      <w:r>
        <w:rPr>
          <w:rFonts w:ascii="Times New Roman" w:hAnsi="Times New Roman"/>
          <w:sz w:val="24"/>
        </w:rPr>
        <w:t>A gap sits at the intersection of these three literatures. Cross-disciplinary teaching research has concentrated on school-level subject reassignment, leaving the more demanding vocational context largely unexamined. Self-directed learning research has addressed teacher professional development but has not tackled the extreme case—building qualification-free mastery of a new subject. Technology-supported professional development research has focused on formal programmes with institutional infrastructure. No study has traced a teacher's arc from zero formal qualification in a discipline to research-active programme leader in that discipline through self-directed, technology-assisted study. We address that gap.</w:t>
      </w:r>
    </w:p>
    <w:p>
      <w:r>
        <w:rPr>
          <w:rFonts w:ascii="Times New Roman" w:hAnsi="Times New Roman"/>
          <w:sz w:val="24"/>
        </w:rPr>
        <w:t>## §3 Methodology</w:t>
      </w:r>
    </w:p>
    <w:p>
      <w:r>
        <w:rPr>
          <w:rFonts w:ascii="Times New Roman" w:hAnsi="Times New Roman"/>
          <w:sz w:val="24"/>
        </w:rPr>
        <w:t>### 3.1 Research Design</w:t>
      </w:r>
    </w:p>
    <w:p>
      <w:r>
        <w:rPr>
          <w:rFonts w:ascii="Times New Roman" w:hAnsi="Times New Roman"/>
          <w:sz w:val="24"/>
        </w:rPr>
        <w:t>We adopted a longitudinal single-case design (Yin, 2018). The case study fits a 'how' question about a contemporary phenomenon embedded in its real-world context—here, the blurry boundary between the phenomenon (cross-disciplinary competence development) and its context (an active vocational college). Flyvbjerg (2006) has shown that the single case, far from being merely exploratory, yields generalisable insight when the case is strategically chosen and analytically deep.</w:t>
      </w:r>
    </w:p>
    <w:p>
      <w:r>
        <w:rPr>
          <w:rFonts w:ascii="Times New Roman" w:hAnsi="Times New Roman"/>
          <w:sz w:val="24"/>
        </w:rPr>
        <w:t>### 3.2 Case Selection</w:t>
      </w:r>
    </w:p>
    <w:p>
      <w:r>
        <w:rPr>
          <w:rFonts w:ascii="Times New Roman" w:hAnsi="Times New Roman"/>
          <w:sz w:val="24"/>
        </w:rPr>
        <w:t>We selected Teacher Z against four criteria derived from the research questions. First, **prototypicality of the cross-disciplinary phenomenon**: Teacher Z represents the structural reality of vocational teachers assigned outside their qualification area in China and comparable developing economies—a theoretically informative case, not merely a convenient one. Second, **data completeness**: Teacher Z maintained continuous teaching journals and system usage records from 2021 through 2025, a depth of process data rarely available. Third, **degree of cross-disciplinarity**: the distance between his formal qualifications (land resource management BSc, environmental engineering MSc) and his teaching assignment (10 UAV technology courses) constitutes a substantial gap, making the learning process observable. Fourth, **ecological validity**: all data were generated in an authentic workplace setting with no researcher intervention.</w:t>
      </w:r>
    </w:p>
    <w:p>
      <w:r>
        <w:rPr>
          <w:rFonts w:ascii="Times New Roman" w:hAnsi="Times New Roman"/>
          <w:sz w:val="24"/>
        </w:rPr>
        <w:t>### 3.3 Data Sources</w:t>
      </w:r>
    </w:p>
    <w:p>
      <w:r>
        <w:rPr>
          <w:rFonts w:ascii="Times New Roman" w:hAnsi="Times New Roman"/>
          <w:sz w:val="24"/>
        </w:rPr>
        <w:t>Data were drawn from four sources. Teaching journals, system usage records, and course documents originate from the same informant (Teacher Z) and thus provide multi-source single-informant corroboration rather than independent-source triangulation (Patton, 2015). Institutional outputs provide the only fully independent confirmation. **(a) Teaching journals (2021–2025):** Teacher Z kept weekly reflective journals documenting learning activities, teaching problems encountered, solutions developed, and reflections on professional growth. The corpus spans approximately 45,000 Chinese characters across 48 months. **(b) Agent system usage records:** The multi-agent support system logged all user interactions—query types, response patterns, task completion data—from system deployment in mid-2021 through mid-2025. **(c) Institutional outputs:** Three funded research projects obtained in 2025 (one provincial-level, two institutional-level), one copyright registration for teaching materials, and course design documents for 10 courses. **(d) Course design documents:** Syllabi, lesson plans, assessment instruments, and teaching materials for 10 UAV courses developed sequentially between 2022 and 2025.</w:t>
      </w:r>
    </w:p>
    <w:p>
      <w:r>
        <w:rPr>
          <w:rFonts w:ascii="Times New Roman" w:hAnsi="Times New Roman"/>
          <w:sz w:val="24"/>
        </w:rPr>
        <w:t>### 3.4 Data Analysis</w:t>
      </w:r>
    </w:p>
    <w:p>
      <w:r>
        <w:rPr>
          <w:rFonts w:ascii="Times New Roman" w:hAnsi="Times New Roman"/>
          <w:sz w:val="24"/>
        </w:rPr>
        <w:t>Analysis proceeded in three stages. We first applied **timeline coding** to journal and system records to build a chronological map of developmental phases. Events were coded by type—knowledge acquisition, teaching activity, research activity, system interaction—and mapped to monthly time units. We then conducted **thematic analysis** (Braun &amp; Clarke, 2006) on the journal corpus to identify recurring patterns in learning strategies, challenges, and solutions. Themes were generated inductively and cross-referenced with the timeline map. Finally, we performed **evidence triangulation**, matching themes from journals against system usage records and institutional outputs to confirm or disconfirm interpretive claims. No independent inter-coder reliability measure was calculated, given that the analysis was conducted by the research team rather than blinded coders—a limitation noted in §5.4.</w:t>
      </w:r>
    </w:p>
    <w:p>
      <w:r>
        <w:rPr>
          <w:rFonts w:ascii="Times New Roman" w:hAnsi="Times New Roman"/>
          <w:sz w:val="24"/>
        </w:rPr>
        <w:t>### 3.5 Ethical Considerations</w:t>
      </w:r>
    </w:p>
    <w:p>
      <w:r>
        <w:rPr>
          <w:rFonts w:ascii="Times New Roman" w:hAnsi="Times New Roman"/>
          <w:sz w:val="24"/>
        </w:rPr>
        <w:t>Teacher Z gave informed consent for the research use of all data. We anonymised teacher identity and institutional affiliation throughout. Institutional approval for data use was obtained. The study involved no vulnerable populations and posed minimal risk.</w:t>
      </w:r>
    </w:p>
    <w:p>
      <w:r>
        <w:rPr>
          <w:rFonts w:ascii="Times New Roman" w:hAnsi="Times New Roman"/>
          <w:sz w:val="24"/>
        </w:rPr>
        <w:t>Teacher Z, whose case constitutes the primary data source, was also a member of the research team (as first author). To mitigate the dual role of subject and researcher, all journal entries used for analysis were completed prior to the research design phase (2021–2024) and were not composed for research purposes. The boundary between practitioner reflection and research data is thus inherently blurred—a condition we flag rather than resolve.</w:t>
      </w:r>
    </w:p>
    <w:p>
      <w:r>
        <w:rPr>
          <w:rFonts w:ascii="Times New Roman" w:hAnsi="Times New Roman"/>
          <w:sz w:val="24"/>
        </w:rPr>
        <w:t>### 3.6 Cross-Validation</w:t>
      </w:r>
    </w:p>
    <w:p>
      <w:r>
        <w:rPr>
          <w:rFonts w:ascii="Times New Roman" w:hAnsi="Times New Roman"/>
          <w:sz w:val="24"/>
        </w:rPr>
        <w:t>Beyond the primary case, we documented three auxiliary cases as part of the broader research project: (a) Teachers S and W, two engineering instructors transitioning from solid waste engineering to smart emergency management and smart human settlements engineering, respectively; and (b) Teacher H, a 61-year-old retired engineer undertaking self-directed study of traditional Chinese flute music using the same NFSC methodology. We do not report these auxiliary cases in full here but draw on them in the Discussion (§5.2) for preliminary evidence of transferability. De-identified summary data for all three, including timeline records and agent system usage logs, are available as Supplementary Material.</w:t>
      </w:r>
    </w:p>
    <w:p>
      <w:r>
        <w:rPr>
          <w:rFonts w:ascii="Times New Roman" w:hAnsi="Times New Roman"/>
          <w:sz w:val="24"/>
        </w:rPr>
        <w:t>## §4 Results</w:t>
      </w:r>
    </w:p>
    <w:p>
      <w:r>
        <w:rPr>
          <w:rFonts w:ascii="Times New Roman" w:hAnsi="Times New Roman"/>
          <w:sz w:val="24"/>
        </w:rPr>
        <w:t>### 4.1 Self-Study Phase (2021–2022): Knowledge Domain Mapping</w:t>
      </w:r>
    </w:p>
    <w:p>
      <w:r>
        <w:rPr>
          <w:rFonts w:ascii="Times New Roman" w:hAnsi="Times New Roman"/>
          <w:sz w:val="24"/>
        </w:rPr>
        <w:t>Teacher Z's development began in earnest in mid-2021. Over the next eighteen months, he mapped the UAV knowledge domain against what he already knew. His prior knowledge base rested on two pillars: land resource management (surveying, GIS, spatial data analysis) and environmental engineering (monitoring technologies, impact assessment, regulatory frameworks). Neither pillar included UAV-specific content. Both contained adjacent knowledge that could anchor new learning.</w:t>
      </w:r>
    </w:p>
    <w:p>
      <w:r>
        <w:rPr>
          <w:rFonts w:ascii="Times New Roman" w:hAnsi="Times New Roman"/>
          <w:sz w:val="24"/>
        </w:rPr>
        <w:t>He deployed the NFSC approach as his self-study scaffold. In the Narrative phase, he reframed his career trajectory as a continuity: land surveying led to environmental monitoring, which led logically to UAV-based aerial surveying. The story supplied coherence and motivation. In the Framework phase, he systematically dissected the UAV knowledge domain into sub-domains—flight principles, control systems, sensors, communications, regulations, applications—and cross-referenced each against his existing knowledge to pinpoint gaps. The agent system served at this stage as an on-demand source for structured outlines, explanations of unfamiliar concepts, and technical documentation for each sub-domain.</w:t>
      </w:r>
    </w:p>
    <w:p>
      <w:r>
        <w:rPr>
          <w:rFonts w:ascii="Times New Roman" w:hAnsi="Times New Roman"/>
          <w:sz w:val="24"/>
        </w:rPr>
        <w:t>The journals from this period document a deliberate strategy of knowledge transfer. On 12 March 2022, Teacher Z wrote: "The GIS coordinate systems I learned as an undergraduate map directly onto drone flight path planning. The monitoring protocols from my master's research map onto drone-based environmental inspection. I am not starting from zero; I am extending existing frameworks into new territory" (translated from Chinese). This strategy of anchoring new knowledge in existing frameworks maps onto the boundary-crossing mechanism of coordination identified by Akkerman and Bakker (2011).</w:t>
      </w:r>
    </w:p>
    <w:p>
      <w:r>
        <w:rPr>
          <w:rFonts w:ascii="Times New Roman" w:hAnsi="Times New Roman"/>
          <w:sz w:val="24"/>
        </w:rPr>
        <w:t>Table 1 presents a condensed timeline of critical events in Teacher Z's development.</w:t>
      </w:r>
    </w:p>
    <w:p>
      <w:r>
        <w:rPr>
          <w:rFonts w:ascii="Times New Roman" w:hAnsi="Times New Roman"/>
          <w:sz w:val="24"/>
        </w:rPr>
        <w:t>**Table 1: Critical Events Timeline of Teacher Z's Development (2021–Present)**</w:t>
      </w:r>
    </w:p>
    <w:p>
      <w:r>
        <w:rPr>
          <w:rFonts w:ascii="Times New Roman" w:hAnsi="Times New Roman"/>
          <w:sz w:val="24"/>
        </w:rPr>
        <w:t>| Period | Phase | Key Events |</w:t>
      </w:r>
    </w:p>
    <w:p>
      <w:r>
        <w:rPr>
          <w:rFonts w:ascii="Times New Roman" w:hAnsi="Times New Roman"/>
          <w:sz w:val="24"/>
        </w:rPr>
        <w:t>| 2021 mid | Transition | Assigned to UAV programme; NFSC self-study framework adopted |</w:t>
      </w:r>
    </w:p>
    <w:p>
      <w:r>
        <w:rPr>
          <w:rFonts w:ascii="Times New Roman" w:hAnsi="Times New Roman"/>
          <w:sz w:val="24"/>
        </w:rPr>
        <w:t>| 2021 Q3–Q4 | Knowledge mapping | Agent system deployed; UAV knowledge domain structured; mapping from land management and environmental engineering domains |</w:t>
      </w:r>
    </w:p>
    <w:p>
      <w:r>
        <w:rPr>
          <w:rFonts w:ascii="Times New Roman" w:hAnsi="Times New Roman"/>
          <w:sz w:val="24"/>
        </w:rPr>
        <w:t>| 2022 Q1–Q2 | Framework building | Technical knowledge acquisition: aerodynamics, flight control, sensor technology, civil aviation regulations |</w:t>
      </w:r>
    </w:p>
    <w:p>
      <w:r>
        <w:rPr>
          <w:rFonts w:ascii="Times New Roman" w:hAnsi="Times New Roman"/>
          <w:sz w:val="24"/>
        </w:rPr>
        <w:t>| 2022 Q3 | Course design begins | First two course syllabi developed using agent system for structure and content generation |</w:t>
      </w:r>
    </w:p>
    <w:p>
      <w:r>
        <w:rPr>
          <w:rFonts w:ascii="Times New Roman" w:hAnsi="Times New Roman"/>
          <w:sz w:val="24"/>
        </w:rPr>
        <w:t>| 2022 Q4 | First teaching | Initial course delivery; teaching journals document challenges and iterative refinement |</w:t>
      </w:r>
    </w:p>
    <w:p>
      <w:r>
        <w:rPr>
          <w:rFonts w:ascii="Times New Roman" w:hAnsi="Times New Roman"/>
          <w:sz w:val="24"/>
        </w:rPr>
        <w:t>| 2023 | Sequential course development | Six additional courses designed and delivered; agent system usage shifts from knowledge acquisition to curriculum design |</w:t>
      </w:r>
    </w:p>
    <w:p>
      <w:r>
        <w:rPr>
          <w:rFonts w:ascii="Times New Roman" w:hAnsi="Times New Roman"/>
          <w:sz w:val="24"/>
        </w:rPr>
        <w:t>| 2024 | Programme completion | All 10 UAV courses active; teaching competence externally recognised (student certification pass rates) |</w:t>
      </w:r>
    </w:p>
    <w:p>
      <w:r>
        <w:rPr>
          <w:rFonts w:ascii="Times New Roman" w:hAnsi="Times New Roman"/>
          <w:sz w:val="24"/>
        </w:rPr>
        <w:t>| 2024 Q3 | Research initiation | Doctoral enrolment in education at [University B]; research methodology applied to teaching practice |</w:t>
      </w:r>
    </w:p>
    <w:p>
      <w:r>
        <w:rPr>
          <w:rFonts w:ascii="Times New Roman" w:hAnsi="Times New Roman"/>
          <w:sz w:val="24"/>
        </w:rPr>
        <w:t>| 2025 Q1–Q2 | Research outputs | Three funded research projects obtained; copyright registration completed; first teaching reform manuscripts drafted |</w:t>
      </w:r>
    </w:p>
    <w:p>
      <w:r>
        <w:rPr>
          <w:rFonts w:ascii="Times New Roman" w:hAnsi="Times New Roman"/>
          <w:sz w:val="24"/>
        </w:rPr>
        <w:t>| 2025 Q3–ongoing | Institutional embedding | Course materials standardised; mentoring of new cross-disciplinary teachers begins |</w:t>
      </w:r>
    </w:p>
    <w:p>
      <w:r>
        <w:rPr>
          <w:rFonts w:ascii="Times New Roman" w:hAnsi="Times New Roman"/>
          <w:sz w:val="24"/>
        </w:rPr>
        <w:t>### 4.2 Teaching Phase (2022–2024): Agent-Assisted Curriculum Design</w:t>
      </w:r>
    </w:p>
    <w:p>
      <w:r>
        <w:rPr>
          <w:rFonts w:ascii="Times New Roman" w:hAnsi="Times New Roman"/>
          <w:sz w:val="24"/>
        </w:rPr>
        <w:t>From mid-2022 through mid-2024, Teacher Z translated domain knowledge into curriculum. He developed 10 UAV courses in sequence, with the agent system functioning as a structural scaffold for course design. Table 2 summarises usage data across phases. Figure 3 shows the UAV transfer exploration sub-page from the teaching portal, which documents Teacher Z's self-study methodology and the five-module structural design (Narrative, Framework, Adaptation, Achievement, Agent Mapping).</w:t>
      </w:r>
    </w:p>
    <w:p>
      <w:r>
        <w:rPr>
          <w:rFonts w:ascii="Times New Roman" w:hAnsi="Times New Roman"/>
          <w:sz w:val="24"/>
        </w:rPr>
        <w:t>**Table 2: Agent System Usage Data by Phase**</w:t>
      </w:r>
    </w:p>
    <w:p>
      <w:r>
        <w:rPr>
          <w:rFonts w:ascii="Times New Roman" w:hAnsi="Times New Roman"/>
          <w:sz w:val="24"/>
        </w:rPr>
        <w:t>| Phase | Primary Query Type | Monthly Interactions | Output Type |</w:t>
      </w:r>
    </w:p>
    <w:p>
      <w:r>
        <w:rPr>
          <w:rFonts w:ascii="Times New Roman" w:hAnsi="Times New Roman"/>
          <w:sz w:val="24"/>
        </w:rPr>
        <w:t>| Self-study (2021–2022) | Knowledge acquisition: concept explanation, domain mapping, regulatory frameworks | 120–180 | Structured knowledge outlines; concept maps; technical summaries |</w:t>
      </w:r>
    </w:p>
    <w:p>
      <w:r>
        <w:rPr>
          <w:rFonts w:ascii="Times New Roman" w:hAnsi="Times New Roman"/>
          <w:sz w:val="24"/>
        </w:rPr>
        <w:t>| Course design (2022–2023) | Curriculum structure: syllabus generation, lesson sequencing, learning objective formulation | 80–140 | Course syllabi; lesson plans; assessment rubrics |</w:t>
      </w:r>
    </w:p>
    <w:p>
      <w:r>
        <w:rPr>
          <w:rFonts w:ascii="Times New Roman" w:hAnsi="Times New Roman"/>
          <w:sz w:val="24"/>
        </w:rPr>
        <w:t>| Teaching delivery (2023–2024) | Pedagogical support: teaching scenario generation, troubleshooting scenarios, assessment item creation | 60–100 | Case examples; failure scenarios for simulation; assessment items |</w:t>
      </w:r>
    </w:p>
    <w:p>
      <w:r>
        <w:rPr>
          <w:rFonts w:ascii="Times New Roman" w:hAnsi="Times New Roman"/>
          <w:sz w:val="24"/>
        </w:rPr>
        <w:t>| Research integration (2024–2025) | Academic writing: literature search assistance, manuscript structure, proposal drafting | 40–60 | Research proposals; manuscript drafts; project reports |</w:t>
      </w:r>
    </w:p>
    <w:p>
      <w:r>
        <w:rPr>
          <w:rFonts w:ascii="Times New Roman" w:hAnsi="Times New Roman"/>
          <w:sz w:val="24"/>
        </w:rPr>
        <w:t>The 10 courses span the full UAV programme: Aviation Data Analysis and Processing, UAV Control and Trajectory Planning, Sensors and Detection Technology, Fundamentals of Mechanical Design, UAV Flight Simulation, UAV Ground Control Station, UAV Flight Control Principles and Applications, Agricultural Plant Protection UAV Technology, UAV Power Line Inspection Technology, and UAV Primary Mission Flight. Each course cycled through design, delivery, reflection, and revision, with the agent system operating as a design partner at each stage.</w:t>
      </w:r>
    </w:p>
    <w:p>
      <w:r>
        <w:rPr>
          <w:rFonts w:ascii="Times New Roman" w:hAnsi="Times New Roman"/>
          <w:sz w:val="24"/>
        </w:rPr>
        <w:t>Figure 1 illustrates the knowledge domain mapping trajectory.</w:t>
      </w:r>
    </w:p>
    <w:p>
      <w:r>
        <w:rPr>
          <w:rFonts w:ascii="Times New Roman" w:hAnsi="Times New Roman"/>
          <w:sz w:val="24"/>
        </w:rPr>
        <w:t>**Figure 1: Knowledge Domain Mapping Trajectory**</w:t>
      </w:r>
    </w:p>
    <w:p>
      <w:r>
        <w:rPr>
          <w:rFonts w:ascii="Times New Roman" w:hAnsi="Times New Roman"/>
          <w:sz w:val="24"/>
        </w:rPr>
        <w:t>*Note:* The figure shows how Teacher Z's prior knowledge domains (left) were systematically extended into UAV sub-domains (right), with the NFSC methodology and agent system serving as the bridging mechanism.</w:t>
      </w:r>
    </w:p>
    <w:p>
      <w:r>
        <w:rPr>
          <w:rFonts w:ascii="Times New Roman" w:hAnsi="Times New Roman"/>
          <w:sz w:val="24"/>
        </w:rPr>
        <w:t>**Figure 3: UAV Transfer Exploration Sub-Page**</w:t>
      </w:r>
    </w:p>
    <w:p>
      <w:r>
        <w:rPr>
          <w:rFonts w:ascii="Times New Roman" w:hAnsi="Times New Roman"/>
          <w:sz w:val="24"/>
        </w:rPr>
        <w:t>*Note:* The UAV transfer sub-page documents Teacher Z's self-study methodology through a five-module structure (Narrative, Framework, Adaptation, Achievement, Agent Mapping), deployed as part of the eight-language teaching portal.</w:t>
      </w:r>
    </w:p>
    <w:p>
      <w:r>
        <w:rPr>
          <w:rFonts w:ascii="Times New Roman" w:hAnsi="Times New Roman"/>
          <w:sz w:val="24"/>
        </w:rPr>
        <w:t>### 4.3 Research Integration Phase (2024–2025): From Teaching Practice to Academic Output</w:t>
      </w:r>
    </w:p>
    <w:p>
      <w:r>
        <w:rPr>
          <w:rFonts w:ascii="Times New Roman" w:hAnsi="Times New Roman"/>
          <w:sz w:val="24"/>
        </w:rPr>
        <w:t>In mid-2024, Teacher Z enrolled in a doctoral programme in education at [University B]. This formalised a research dimension that had been running beneath the surface since 2021—continuous reflective journaling, problematising teaching challenges, iterating solutions. The doctoral enrolment was not the start of research activity but its institutional recognition.</w:t>
      </w:r>
    </w:p>
    <w:p>
      <w:r>
        <w:rPr>
          <w:rFonts w:ascii="Times New Roman" w:hAnsi="Times New Roman"/>
          <w:sz w:val="24"/>
        </w:rPr>
        <w:t>In 2025, Teacher Z secured three funded projects: a provincial-level teaching reform project on UAV programme curriculum innovation, an institutional-level project on agent-assisted teaching models for vocational UAV education, and an institutional-level project on cross-disciplinary teacher self-study pathways. He also obtained copyright registration for the NFSC teaching methodology. These outputs stand as verifiable markers that the self-study model supported teaching competence and, beyond that, a transition to research productivity.</w:t>
      </w:r>
    </w:p>
    <w:p>
      <w:r>
        <w:rPr>
          <w:rFonts w:ascii="Times New Roman" w:hAnsi="Times New Roman"/>
          <w:sz w:val="24"/>
        </w:rPr>
        <w:t>### 4.4 Institutional Outputs</w:t>
      </w:r>
    </w:p>
    <w:p>
      <w:r>
        <w:rPr>
          <w:rFonts w:ascii="Times New Roman" w:hAnsi="Times New Roman"/>
          <w:sz w:val="24"/>
        </w:rPr>
        <w:t>The tangible outputs of Teacher Z's trajectory are summarised in Table 3.</w:t>
      </w:r>
    </w:p>
    <w:p>
      <w:r>
        <w:rPr>
          <w:rFonts w:ascii="Times New Roman" w:hAnsi="Times New Roman"/>
          <w:sz w:val="24"/>
        </w:rPr>
        <w:t>**Table 3: Institutional Outputs as Indicators of Professional Growth (Not Direct Measures of Teaching Effectiveness)**</w:t>
      </w:r>
    </w:p>
    <w:p>
      <w:r>
        <w:rPr>
          <w:rFonts w:ascii="Times New Roman" w:hAnsi="Times New Roman"/>
          <w:sz w:val="24"/>
        </w:rPr>
        <w:t>| Output Category | Item | Year | Significance |</w:t>
      </w:r>
    </w:p>
    <w:p>
      <w:r>
        <w:rPr>
          <w:rFonts w:ascii="Times New Roman" w:hAnsi="Times New Roman"/>
          <w:sz w:val="24"/>
        </w:rPr>
        <w:t>| Curriculum | 10 UAV course syllabi and teaching materials | 2022–2025 | Complete programme coverage |</w:t>
      </w:r>
    </w:p>
    <w:p>
      <w:r>
        <w:rPr>
          <w:rFonts w:ascii="Times New Roman" w:hAnsi="Times New Roman"/>
          <w:sz w:val="24"/>
        </w:rPr>
        <w:t>| Research (funded) | Provincial teaching reform project (UAV curriculum) | 2025 | External peer validation |</w:t>
      </w:r>
    </w:p>
    <w:p>
      <w:r>
        <w:rPr>
          <w:rFonts w:ascii="Times New Roman" w:hAnsi="Times New Roman"/>
          <w:sz w:val="24"/>
        </w:rPr>
        <w:t>| Research (funded) | Institutional project (agent-assisted UAV teaching) | 2025 | Methodological innovation recognised |</w:t>
      </w:r>
    </w:p>
    <w:p>
      <w:r>
        <w:rPr>
          <w:rFonts w:ascii="Times New Roman" w:hAnsi="Times New Roman"/>
          <w:sz w:val="24"/>
        </w:rPr>
        <w:t>| Research (funded) | Institutional project (cross-disciplinary self-study) | 2025 | Professional development model formalised |</w:t>
      </w:r>
    </w:p>
    <w:p>
      <w:r>
        <w:rPr>
          <w:rFonts w:ascii="Times New Roman" w:hAnsi="Times New Roman"/>
          <w:sz w:val="24"/>
        </w:rPr>
        <w:t>| Intellectual property | Copyright registration: NFSC + Agent teaching system | 2025 | Transferable methodology |</w:t>
      </w:r>
    </w:p>
    <w:p>
      <w:r>
        <w:rPr>
          <w:rFonts w:ascii="Times New Roman" w:hAnsi="Times New Roman"/>
          <w:sz w:val="24"/>
        </w:rPr>
        <w:t>| Academic enrolment | Doctoral programme in Education at [University B] | 2024 | Formal research capacity building |</w:t>
      </w:r>
    </w:p>
    <w:p>
      <w:r>
        <w:rPr>
          <w:rFonts w:ascii="Times New Roman" w:hAnsi="Times New Roman"/>
          <w:sz w:val="24"/>
        </w:rPr>
        <w:t>| Mentoring | Mentoring of new cross-disciplinary teachers | 2025–ongoing | Institutional dissemination |</w:t>
      </w:r>
    </w:p>
    <w:p>
      <w:r>
        <w:rPr>
          <w:rFonts w:ascii="Times New Roman" w:hAnsi="Times New Roman"/>
          <w:sz w:val="24"/>
        </w:rPr>
        <w:t>### 4.5 Knowledge Transfer Patterns</w:t>
      </w:r>
    </w:p>
    <w:p>
      <w:r>
        <w:rPr>
          <w:rFonts w:ascii="Times New Roman" w:hAnsi="Times New Roman"/>
          <w:sz w:val="24"/>
        </w:rPr>
        <w:t>Three recurrent patterns surfaced in the teaching journals, each illuminating how Teacher Z built disciplinary competence.</w:t>
      </w:r>
    </w:p>
    <w:p>
      <w:r>
        <w:rPr>
          <w:rFonts w:ascii="Times New Roman" w:hAnsi="Times New Roman"/>
          <w:sz w:val="24"/>
        </w:rPr>
        <w:t>**Pattern 1: Analogical transfer.** The teacher habitually used concepts from land resource management and environmental engineering as analogies for UAV concepts. GIS coordinate system frameworks mapped onto flight path geometry; environmental sampling protocols mapped onto drone-based data collection workflows.</w:t>
      </w:r>
    </w:p>
    <w:p>
      <w:r>
        <w:rPr>
          <w:rFonts w:ascii="Times New Roman" w:hAnsi="Times New Roman"/>
          <w:sz w:val="24"/>
        </w:rPr>
        <w:t>**Pattern 2: Progressive problematisation.** He deliberately sought increasingly difficult teaching tasks. He began with simulation-based courses, where errors carried low stakes, before advancing to equipment-intensive courses demanding hands-on operational competence—a self-imposed zone of proximal development.</w:t>
      </w:r>
    </w:p>
    <w:p>
      <w:r>
        <w:rPr>
          <w:rFonts w:ascii="Times New Roman" w:hAnsi="Times New Roman"/>
          <w:sz w:val="24"/>
        </w:rPr>
        <w:t>**Pattern 3: Reflective iteration.** Every teaching cycle ended with a structured journal reflection that identified specific knowledge gaps, pedagogical failures, and revision strategies for the next iteration.</w:t>
      </w:r>
    </w:p>
    <w:p>
      <w:r>
        <w:rPr>
          <w:rFonts w:ascii="Times New Roman" w:hAnsi="Times New Roman"/>
          <w:sz w:val="24"/>
        </w:rPr>
        <w:t>## §5 Discussion</w:t>
      </w:r>
    </w:p>
    <w:p>
      <w:r>
        <w:rPr>
          <w:rFonts w:ascii="Times New Roman" w:hAnsi="Times New Roman"/>
          <w:sz w:val="24"/>
        </w:rPr>
        <w:t>### 5.1 RQ1: How the Self-Directed Model Supports Cross-Disciplinary Competence Development</w:t>
      </w:r>
    </w:p>
    <w:p>
      <w:r>
        <w:rPr>
          <w:rFonts w:ascii="Times New Roman" w:hAnsi="Times New Roman"/>
          <w:sz w:val="24"/>
        </w:rPr>
        <w:t>Teacher Z's trajectory traces all four boundary-crossing mechanisms from Akkerman and Bakker (2011). **Identification** happened through the narrative construction of professional continuity—the story that repositioned cross-disciplinarity as extension rather than rupture. **Coordination** took shape through systematic knowledge domain mapping and deliberate analogical transfer. **Reflection** was the weekly journaling practice, sustained over four years. **Transformation** materialised when teaching, research, and continued learning fused into an ongoing professional identity.</w:t>
      </w:r>
    </w:p>
    <w:p>
      <w:r>
        <w:rPr>
          <w:rFonts w:ascii="Times New Roman" w:hAnsi="Times New Roman"/>
          <w:sz w:val="24"/>
        </w:rPr>
        <w:t>The technology support system played a critical but circumscribed role. It was neither a learning management system delivering content nor an intelligent tutoring system tracking competency. It was an always-available knowledge scaffold—a responsive information resource the teacher could query at any point in the learning process. This fits Eraut's (2004) characterisation of informal workplace learning, where most learning occurs during work activity rather than in dedicated training blocks. The system collapsed the temporal gap between encountering a knowledge gap and accessing the information to close it.</w:t>
      </w:r>
    </w:p>
    <w:p>
      <w:r>
        <w:rPr>
          <w:rFonts w:ascii="Times New Roman" w:hAnsi="Times New Roman"/>
          <w:sz w:val="24"/>
        </w:rPr>
        <w:t>The NFSC methodology supplied the structure Brookfield (1986) identified as essential for effective self-direction. Its four components—Narrative (a coherent professional story), Framework (systematic knowledge mapping), Scene (contextualised scenario-based learning), and Creation (tangible outputs)—functioned as a self-study protocol substituting for the curriculum structure of formal training. In the self-study context, Scene operates through agent-generated scenarios—contextualised problems and troubleshooting simulations—that substituted for the peer interaction and role-play of the classroom setting. The NFSC approach draws on established pedagogical principles: narrative pedagogy (Bruner, 1986), constructive alignment (Biggs, 1996), and scenario-based learning, adapted here for self-directed knowledge acquisition. These findings extend Verster et al. (2024) in one important respect: self-directed professional development can address foundational disciplinary knowledge acquisition, not just curriculum practice enhancement. We acknowledge the risk of confirmation bias given our involvement in developing the NFSC methodology. To counter this, we triangulated self-report data (teaching journals) against independent evidence—funded project awards and copyright registration—adjudicated by external reviewers unaware of this study.</w:t>
      </w:r>
    </w:p>
    <w:p>
      <w:r>
        <w:rPr>
          <w:rFonts w:ascii="Times New Roman" w:hAnsi="Times New Roman"/>
          <w:sz w:val="24"/>
        </w:rPr>
        <w:t>### 5.2 RQ2: Conditions for Cross-Disciplinary Transfer</w:t>
      </w:r>
    </w:p>
    <w:p>
      <w:r>
        <w:rPr>
          <w:rFonts w:ascii="Times New Roman" w:hAnsi="Times New Roman"/>
          <w:sz w:val="24"/>
        </w:rPr>
        <w:t>The three auxiliary cases offer preliminary evidence about transfer conditions. Figure 2 shows the transfer exploration hub page from the teaching portal, presenting all three cases and the anchor motto "Knowledge without boundary. Method with constancy." Teachers S and W, both from solid waste engineering backgrounds, used the NFSC methodology to transition into smart emergency management and smart human settlements engineering respectively. Their transitions ran 12–18 months and generated new course materials for undergraduate programmes (four courses for Teacher W, three for Teacher S). Teacher H, a 61-year-old retired engineer with no musical background, applied the methodology to Chinese flute music, developing a structured self-learning programme—the Bamboo-Music-Wellness system—that received copyright registration and was formalised into a community teaching programme. Across the four cases, three conditions appear to facilitate such transitions, though the auxiliary evidence is preliminary and the conditions are offered as hypotheses for further investigation rather than established findings.</w:t>
      </w:r>
    </w:p>
    <w:p>
      <w:r>
        <w:rPr>
          <w:rFonts w:ascii="Times New Roman" w:hAnsi="Times New Roman"/>
          <w:sz w:val="24"/>
        </w:rPr>
        <w:t>**Figure 2: Transfer Exploration Hub Page**</w:t>
      </w:r>
    </w:p>
    <w:p>
      <w:r>
        <w:rPr>
          <w:rFonts w:ascii="Times New Roman" w:hAnsi="Times New Roman"/>
          <w:sz w:val="24"/>
        </w:rPr>
        <w:t>*Note:* The hub page presents three cross-domain case cards and the anchor motto, deployed as part of the eight-language teaching portal architecture.</w:t>
      </w:r>
    </w:p>
    <w:p>
      <w:r>
        <w:rPr>
          <w:rFonts w:ascii="Times New Roman" w:hAnsi="Times New Roman"/>
          <w:sz w:val="24"/>
        </w:rPr>
        <w:t>**An anchoring knowledge domain.** Every teacher brought a pre-existing knowledge structure—land management and environmental engineering (Teacher Z), solid waste engineering (Teachers S and W), engineering problem-solving (Teacher H)—that supplied conceptual frameworks onto which new knowledge could be mapped. The agent system accelerated this mapping by making the target domain's structure explicit and highlighting connections to the anchoring domain.—land management and environmental engineering (Teacher Z), solid waste engineering (Teachers S and W), engineering problem-solving (Teacher H)—that supplied conceptual frameworks onto which new knowledge could be mapped. The agent system accelerated this mapping by making the target domain's structure explicit and highlighting connections to the anchoring domain.</w:t>
      </w:r>
    </w:p>
    <w:p>
      <w:r>
        <w:rPr>
          <w:rFonts w:ascii="Times New Roman" w:hAnsi="Times New Roman"/>
          <w:sz w:val="24"/>
        </w:rPr>
        <w:t>**A structured self-study protocol.** The NFSC methodology provided a replicable cognitive sequence: narrate, map, simulate, produce. This protocol served the same function as the structured reflection activities Verster et al. (2024) found essential, but stretched it beyond reflection-on-practice to structured knowledge acquisition.</w:t>
      </w:r>
    </w:p>
    <w:p>
      <w:r>
        <w:rPr>
          <w:rFonts w:ascii="Times New Roman" w:hAnsi="Times New Roman"/>
          <w:sz w:val="24"/>
        </w:rPr>
        <w:t>**Institutional permission for self-directed experimentation.** All four teachers operated in environments that allowed—or at least did not obstruct—self-directed learning. This condition echoes Rasool and Naidoo's (2024) findings on the importance of institutional enabling conditions for technology-supported professional development.</w:t>
      </w:r>
    </w:p>
    <w:p>
      <w:r>
        <w:rPr>
          <w:rFonts w:ascii="Times New Roman" w:hAnsi="Times New Roman"/>
          <w:sz w:val="24"/>
        </w:rPr>
        <w:t>### 5.3 Policy Implications for Developing Countries</w:t>
      </w:r>
    </w:p>
    <w:p>
      <w:r>
        <w:rPr>
          <w:rFonts w:ascii="Times New Roman" w:hAnsi="Times New Roman"/>
          <w:sz w:val="24"/>
        </w:rPr>
        <w:t>#### 5.3.1 Cost Accessibility and Infrastructure</w:t>
      </w:r>
    </w:p>
    <w:p>
      <w:r>
        <w:rPr>
          <w:rFonts w:ascii="Times New Roman" w:hAnsi="Times New Roman"/>
          <w:sz w:val="24"/>
        </w:rPr>
        <w:t>The model described here operates at zero marginal cost. The agent system needs only a standard internet-connected device and a freely available large language model interface. Deployment involves no server infrastructure, no licensing fees, no specialised technical personnel. This directly addresses the infrastructure barriers Chuene and Teane (2024) identified as critical constraints on curriculum implementation in resource-limited South African schools. For education departments in developing economies squeezed between curriculum expansion, teacher shortages, and fiscal constraint, a zero-cost teacher self-development infrastructure is a pragmatic option.</w:t>
      </w:r>
    </w:p>
    <w:p>
      <w:r>
        <w:rPr>
          <w:rFonts w:ascii="Times New Roman" w:hAnsi="Times New Roman"/>
          <w:sz w:val="24"/>
        </w:rPr>
        <w:t>#### 5.3.2 Cross-Domain Replicability</w:t>
      </w:r>
    </w:p>
    <w:p>
      <w:r>
        <w:rPr>
          <w:rFonts w:ascii="Times New Roman" w:hAnsi="Times New Roman"/>
          <w:sz w:val="24"/>
        </w:rPr>
        <w:t>The disciplinary range covered—solid waste engineering to UAVs, environmental science to smart engineering, engineering to traditional music—suggests the model cuts across specific disciplinary boundaries. For policy-makers, cross-domain applicability matters: a single methodology can address teacher shortages across multiple programme areas simultaneously, eliminating the need for discipline-specific training interventions.</w:t>
      </w:r>
    </w:p>
    <w:p>
      <w:r>
        <w:rPr>
          <w:rFonts w:ascii="Times New Roman" w:hAnsi="Times New Roman"/>
          <w:sz w:val="24"/>
        </w:rPr>
        <w:t>#### 5.3.3 Institutional Embedding</w:t>
      </w:r>
    </w:p>
    <w:p>
      <w:r>
        <w:rPr>
          <w:rFonts w:ascii="Times New Roman" w:hAnsi="Times New Roman"/>
          <w:sz w:val="24"/>
        </w:rPr>
        <w:t>The tougher question is whether self-directed models can be absorbed into existing teacher continuing education frameworks. Sepadi and Themane (2025) showed that short learning programmes build capacity for inclusive education among South African teachers but noted that sustained institutional support is needed for programmes to translate into practice change. For the model described here, institutional embedding would require three elements: (a) official recognition of self-directed learning as legitimate continuing professional development, (b) incorporation of the NFSC methodology into induction programmes for cross-disciplinary teachers, and (c) peer support networks for cross-disciplinary teachers using shared technology platforms.</w:t>
      </w:r>
    </w:p>
    <w:p>
      <w:r>
        <w:rPr>
          <w:rFonts w:ascii="Times New Roman" w:hAnsi="Times New Roman"/>
          <w:sz w:val="24"/>
        </w:rPr>
        <w:t>#### 5.3.4 BRICS and South-South Cooperation Framework</w:t>
      </w:r>
    </w:p>
    <w:p>
      <w:r>
        <w:rPr>
          <w:rFonts w:ascii="Times New Roman" w:hAnsi="Times New Roman"/>
          <w:sz w:val="24"/>
        </w:rPr>
        <w:t>The model's relevance to South African education policy stretches beyond domestic application. The BRICS cooperation framework (Brazil, Russia, India, China, South Africa) has flagged teacher training as a priority for collaborative action (Wolhuter, 2023). The model's zero-cost architecture, cross-domain applicability, and independence from proprietary infrastructure suit it for South-South knowledge transfer. In South Africa's technical and vocational education and training (TVET) college sector, where lecturer qualifications remain a pressing concern (Naidoo, 2026), a methodology enabling self-directed competence development without external training resources addresses a direct policy need.</w:t>
      </w:r>
    </w:p>
    <w:p>
      <w:r>
        <w:rPr>
          <w:rFonts w:ascii="Times New Roman" w:hAnsi="Times New Roman"/>
          <w:sz w:val="24"/>
        </w:rPr>
        <w:t>### 5.4 Limitations</w:t>
      </w:r>
    </w:p>
    <w:p>
      <w:r>
        <w:rPr>
          <w:rFonts w:ascii="Times New Roman" w:hAnsi="Times New Roman"/>
          <w:sz w:val="24"/>
        </w:rPr>
        <w:t>Several limitations constrain interpretation. First, N = 1. Flyvbjerg (2006) established that single cases can yield generalisable insights, but external validity awaits replication. Second, there is no control condition. We cannot determine whether Teacher Z would have achieved comparable or better results through alternative approaches, nor can we isolate the technology component's specific contribution from the NFSC methodology and the teacher's individual characteristics. Third, the data lean heavily on self-report through teaching journals, raising the familiar risk of self-report bias (Patton, 2015). Fourth, we lack student learning outcome data that would allow assessment of teaching effectiveness beyond institutional indicators such as funded research projects. Fifth, Teacher Z's particular profile—strong pre-existing analytical skills from two degree programmes, high motivation evidenced by doctoral enrolment, and reliable access to computing infrastructure—may limit generalisability to teachers with different personal and contextual characteristics.</w:t>
      </w:r>
    </w:p>
    <w:p>
      <w:r>
        <w:rPr>
          <w:rFonts w:ascii="Times New Roman" w:hAnsi="Times New Roman"/>
          <w:sz w:val="24"/>
        </w:rPr>
        <w:t>## §6 Conclusion</w:t>
      </w:r>
    </w:p>
    <w:p>
      <w:r>
        <w:rPr>
          <w:rFonts w:ascii="Times New Roman" w:hAnsi="Times New Roman"/>
          <w:sz w:val="24"/>
        </w:rPr>
        <w:t>We set out to examine how a self-directed, technology-assisted learning model supports cross-disciplinary teaching competence in vocational education, and to identify conditions that allow the model to travel across disciplines. Teacher Z's four-year trajectory shows that such a model can power the full arc from disciplinary novice to research-active programme leader, provided three conditions hold: an anchoring knowledge domain, a structured self-study protocol, and institutional tolerance for experimentation.</w:t>
      </w:r>
    </w:p>
    <w:p>
      <w:r>
        <w:rPr>
          <w:rFonts w:ascii="Times New Roman" w:hAnsi="Times New Roman"/>
          <w:sz w:val="24"/>
        </w:rPr>
        <w:t>Three contributions follow. Empirically: we have documented a complete cross-disciplinary teacher development trajectory—from initial knowledge mapping through curriculum design to scholarly output—filling a gap in the teacher professional development literature. Methodologically: the NFSC self-study protocol, adapted from classroom pedagogy to self-directed learning, offers a replicable structure for cross-disciplinary knowledge acquisition that extends existing models of self-directed professional development (Verster et al., 2024). On the policy front: the zero-cost technology architecture, backed by evidence of cross-domain replicability, gives education systems in developing economies a practical lever for addressing structural teacher shortages.</w:t>
      </w:r>
    </w:p>
    <w:p>
      <w:r>
        <w:rPr>
          <w:rFonts w:ascii="Times New Roman" w:hAnsi="Times New Roman"/>
          <w:sz w:val="24"/>
        </w:rPr>
        <w:t>The model does not replace formal teacher education. A teacher with specialist disciplinary training will, all else equal, bring deeper, more integrated knowledge to the classroom than one who is self-taught. The model is a bridge—a pragmatic tool for contexts where formal training is out of reach, and such contexts are common across the developing-country vocational systems this journal serves.</w:t>
      </w:r>
    </w:p>
    <w:p>
      <w:r>
        <w:rPr>
          <w:rFonts w:ascii="Times New Roman" w:hAnsi="Times New Roman"/>
          <w:sz w:val="24"/>
        </w:rPr>
        <w:t>Several research directions open up: multi-case comparisons to map the model's boundary conditions; quantitative studies incorporating student learning outcome measures; cross-institutional replications in different national and disciplinary settings; and design-based research to optimise the technology support system for specific disciplinary transitions. The auxiliary cases reported briefly here suggest the model's transferability across disciplines and life stages deserves systematic investigation. In a global education landscape shaped by persistent teacher shortages, resource constraints, and fast-evolving curricula, self-directed technology-assisted models of teacher professional growth warrant sustained scholarly attention and measured policy consideration.</w:t>
      </w:r>
    </w:p>
    <w:p>
      <w:r>
        <w:rPr>
          <w:rFonts w:ascii="Times New Roman" w:hAnsi="Times New Roman"/>
          <w:sz w:val="24"/>
        </w:rPr>
        <w:t>---</w:t>
      </w:r>
    </w:p>
    <w:p>
      <w:r>
        <w:rPr>
          <w:rFonts w:ascii="Times New Roman" w:hAnsi="Times New Roman"/>
          <w:sz w:val="24"/>
        </w:rPr>
        <w:t>## Declaration of Generative AI Use</w:t>
      </w:r>
    </w:p>
    <w:p>
      <w:r>
        <w:rPr>
          <w:rFonts w:ascii="Times New Roman" w:hAnsi="Times New Roman"/>
          <w:sz w:val="24"/>
        </w:rPr>
        <w:t>During the preparation of this manuscript, the authors used AI-assisted tools for language editing and reference formatting. All AI-generated suggestions were reviewed and approved by the authors, who take full responsibility for the content of this publication.</w:t>
      </w:r>
    </w:p>
    <w:p>
      <w:r>
        <w:rPr>
          <w:rFonts w:ascii="Times New Roman" w:hAnsi="Times New Roman"/>
          <w:sz w:val="24"/>
        </w:rPr>
        <w:t>---</w:t>
      </w:r>
    </w:p>
    <w:p>
      <w:r>
        <w:rPr>
          <w:rFonts w:ascii="Times New Roman" w:hAnsi="Times New Roman"/>
          <w:sz w:val="24"/>
        </w:rPr>
        <w:t>## References</w:t>
      </w:r>
    </w:p>
    <w:p>
      <w:r>
        <w:rPr>
          <w:rFonts w:ascii="Times New Roman" w:hAnsi="Times New Roman"/>
          <w:sz w:val="24"/>
        </w:rPr>
        <w:t>Akkerman, S. F., &amp; Bakker, A. (2011). Boundary crossing and boundary objects. *Review of Educational Research*, 81(2), 132–169. https://doi.org/10.3102/0034654311404435</w:t>
      </w:r>
    </w:p>
    <w:p>
      <w:r>
        <w:rPr>
          <w:rFonts w:ascii="Times New Roman" w:hAnsi="Times New Roman"/>
          <w:sz w:val="24"/>
        </w:rPr>
        <w:t>Avalos, B. (2011). Teacher professional development in *Teaching and Teacher Education* over ten years. *Teaching and Teacher Education*, 27(1), 10–20. https://doi.org/10.1016/j.tate.2010.08.007</w:t>
      </w:r>
    </w:p>
    <w:p>
      <w:r>
        <w:rPr>
          <w:rFonts w:ascii="Times New Roman" w:hAnsi="Times New Roman"/>
          <w:sz w:val="24"/>
        </w:rPr>
        <w:t>Billett, S. (2002). Toward a workplace pedagogy: Guidance, participation, and engagement. *Adult Education Quarterly*, 53(1), 27–43. https://doi.org/10.1177/074171302237202</w:t>
      </w:r>
    </w:p>
    <w:p>
      <w:r>
        <w:rPr>
          <w:rFonts w:ascii="Times New Roman" w:hAnsi="Times New Roman"/>
          <w:sz w:val="24"/>
        </w:rPr>
        <w:t>Biggs, J. (1996). Enhancing teaching through constructive alignment. *Higher Education*, 32(3), 347–364. https://doi.org/10.1007/BF00138871</w:t>
      </w:r>
    </w:p>
    <w:p>
      <w:r>
        <w:rPr>
          <w:rFonts w:ascii="Times New Roman" w:hAnsi="Times New Roman"/>
          <w:sz w:val="24"/>
        </w:rPr>
        <w:t>Braun, V., &amp; Clarke, V. (2006). Using thematic analysis in psychology. *Qualitative Research in Psychology*, 3(2), 77–101. https://doi.org/10.1191/1478088706qp063oa</w:t>
      </w:r>
    </w:p>
    <w:p>
      <w:r>
        <w:rPr>
          <w:rFonts w:ascii="Times New Roman" w:hAnsi="Times New Roman"/>
          <w:sz w:val="24"/>
        </w:rPr>
        <w:t>Wolhuter, C. C. (2023). Education in the BRICS countries and the likely impact of the COVID-19 pandemic. *BRICS Journal of Economics*, 4(1), 131–146. https://doi.org/10.3897/brics-econ.4.e100736</w:t>
      </w:r>
    </w:p>
    <w:p>
      <w:r>
        <w:rPr>
          <w:rFonts w:ascii="Times New Roman" w:hAnsi="Times New Roman"/>
          <w:sz w:val="24"/>
        </w:rPr>
        <w:t>Brookfield, S. D. (1986). *Understanding and facilitating adult learning: A comprehensive analysis of principles and effective practices*. Jossey-Bass.</w:t>
      </w:r>
    </w:p>
    <w:p>
      <w:r>
        <w:rPr>
          <w:rFonts w:ascii="Times New Roman" w:hAnsi="Times New Roman"/>
          <w:sz w:val="24"/>
        </w:rPr>
        <w:t>Bruner, J. (1986). *Actual minds, possible worlds*. Harvard University Press.</w:t>
      </w:r>
    </w:p>
    <w:p>
      <w:r>
        <w:rPr>
          <w:rFonts w:ascii="Times New Roman" w:hAnsi="Times New Roman"/>
          <w:sz w:val="24"/>
        </w:rPr>
        <w:t>Chuene, D. M., &amp; Teane, F. M. (2024). Resource inadequacy as a barrier to effective curriculum implementation by life sciences teachers in South Africa. *South African Journal of Education*, 44(2), Art. #2387. https://doi.org/10.15700/saje.v44n2a2387</w:t>
      </w:r>
    </w:p>
    <w:p>
      <w:r>
        <w:rPr>
          <w:rFonts w:ascii="Times New Roman" w:hAnsi="Times New Roman"/>
          <w:sz w:val="24"/>
        </w:rPr>
        <w:t>Clarke, D., &amp; Hollingsworth, H. (2002). Elaborating a model of teacher professional growth. *Teaching and Teacher Education*, 18(8), 947–967. https://doi.org/10.1016/S0742-051X(02)00053-7</w:t>
      </w:r>
    </w:p>
    <w:p>
      <w:r>
        <w:rPr>
          <w:rFonts w:ascii="Times New Roman" w:hAnsi="Times New Roman"/>
          <w:sz w:val="24"/>
        </w:rPr>
        <w:t>Cochran-Smith, M., &amp; Lytle, S. L. (2001). Beyond certainty: Taking an inquiry stance on practice. *Teachers College Record*, 103(1), 93–117.</w:t>
      </w:r>
    </w:p>
    <w:p>
      <w:r>
        <w:rPr>
          <w:rFonts w:ascii="Times New Roman" w:hAnsi="Times New Roman"/>
          <w:sz w:val="24"/>
        </w:rPr>
        <w:t>Darling-Hammond, L., Hyler, M. E., &amp; Gardner, M. (2017). *Effective teacher professional development*. Learning Policy Institute. https://doi.org/10.54300/122.311</w:t>
      </w:r>
    </w:p>
    <w:p>
      <w:r>
        <w:rPr>
          <w:rFonts w:ascii="Times New Roman" w:hAnsi="Times New Roman"/>
          <w:sz w:val="24"/>
        </w:rPr>
        <w:t>Desimone, L. M. (2009). Improving impact studies of teachers' professional development: Toward better conceptualizations and measures. *Educational Researcher*, 38(3), 181–199. https://doi.org/10.3102/0013189X08331140</w:t>
      </w:r>
    </w:p>
    <w:p>
      <w:r>
        <w:rPr>
          <w:rFonts w:ascii="Times New Roman" w:hAnsi="Times New Roman"/>
          <w:sz w:val="24"/>
        </w:rPr>
        <w:t>Eraut, M. (2004). Informal learning in the workplace. *Studies in Continuing Education*, 26(2), 247–273. https://doi.org/10.1080/158037042000225245</w:t>
      </w:r>
    </w:p>
    <w:p>
      <w:r>
        <w:rPr>
          <w:rFonts w:ascii="Times New Roman" w:hAnsi="Times New Roman"/>
          <w:sz w:val="24"/>
        </w:rPr>
        <w:t>Flyvbjerg, B. (2006). Five misunderstandings about case-study research. *Qualitative Inquiry*, 12(2), 219–245. https://doi.org/10.1177/1077800405284363</w:t>
      </w:r>
    </w:p>
    <w:p>
      <w:r>
        <w:rPr>
          <w:rFonts w:ascii="Times New Roman" w:hAnsi="Times New Roman"/>
          <w:sz w:val="24"/>
        </w:rPr>
        <w:t>Fullan, M. (2007). *The new meaning of educational change* (4th ed.). Teachers College Press.</w:t>
      </w:r>
    </w:p>
    <w:p>
      <w:r>
        <w:rPr>
          <w:rFonts w:ascii="Times New Roman" w:hAnsi="Times New Roman"/>
          <w:sz w:val="24"/>
        </w:rPr>
        <w:t>Hargreaves, A. (2003). *Teaching in the knowledge society: Education in the age of insecurity*. Teachers College Press.</w:t>
      </w:r>
    </w:p>
    <w:p>
      <w:r>
        <w:rPr>
          <w:rFonts w:ascii="Times New Roman" w:hAnsi="Times New Roman"/>
          <w:sz w:val="24"/>
        </w:rPr>
        <w:t>Ingersoll, R. M. (2003). *Out-of-field teaching and the limits of teacher policy*. Center for the Study of Teaching and Policy, University of Washington.</w:t>
      </w:r>
    </w:p>
    <w:p>
      <w:r>
        <w:rPr>
          <w:rFonts w:ascii="Times New Roman" w:hAnsi="Times New Roman"/>
          <w:sz w:val="24"/>
        </w:rPr>
        <w:t>Kamanga, E., Lubbe, A., &amp; de Beer, J. (2026). Exploring self-directed learning behaviour among Grade 9 natural sciences learners. *South African Journal of Education*, 46(1), Art. #2572. https://doi.org/10.15700/saje.v46n1a2572</w:t>
      </w:r>
    </w:p>
    <w:p>
      <w:r>
        <w:rPr>
          <w:rFonts w:ascii="Times New Roman" w:hAnsi="Times New Roman"/>
          <w:sz w:val="24"/>
        </w:rPr>
        <w:t>Knowles, M. S. (1975). *Self-directed learning: A guide for learners and teachers*. Association Press.</w:t>
      </w:r>
    </w:p>
    <w:p>
      <w:r>
        <w:rPr>
          <w:rFonts w:ascii="Times New Roman" w:hAnsi="Times New Roman"/>
          <w:sz w:val="24"/>
        </w:rPr>
        <w:t>Koo, A. (2016). Expansion of vocational education in neoliberal China: Hope and despair among rural youth. *Journal of Education Policy*, 31(1), 46–59. https://doi.org/10.1080/02680939.2015.1073791</w:t>
      </w:r>
    </w:p>
    <w:p>
      <w:r>
        <w:rPr>
          <w:rFonts w:ascii="Times New Roman" w:hAnsi="Times New Roman"/>
          <w:sz w:val="24"/>
        </w:rPr>
        <w:t>Lincoln, Y. S., &amp; Guba, E. G. (1985). *Naturalistic inquiry*. Sage.</w:t>
      </w:r>
    </w:p>
    <w:p>
      <w:r>
        <w:rPr>
          <w:rFonts w:ascii="Times New Roman" w:hAnsi="Times New Roman"/>
          <w:sz w:val="24"/>
        </w:rPr>
        <w:t>Miles, M. B., Huberman, A. M., &amp; Saldaña, J. (2014). *Qualitative data analysis: A methods sourcebook* (3rd ed.). Sage.</w:t>
      </w:r>
    </w:p>
    <w:p>
      <w:r>
        <w:rPr>
          <w:rFonts w:ascii="Times New Roman" w:hAnsi="Times New Roman"/>
          <w:sz w:val="24"/>
        </w:rPr>
        <w:t>Naidoo, M. D. E. (2026). Assessing the integration and impact of information and communication technology in education: South African private secondary schools in KwaZulu-Natal. *South African Journal of Education*, 46(1), Art. #2550. https://doi.org/10.15700/saje.v46n1a2550</w:t>
      </w:r>
    </w:p>
    <w:p>
      <w:r>
        <w:rPr>
          <w:rFonts w:ascii="Times New Roman" w:hAnsi="Times New Roman"/>
          <w:sz w:val="24"/>
        </w:rPr>
        <w:t>Organisation for Economic Co-operation and Development. (2022). *Education at a glance 2022: OECD indicators*. OECD Publishing. https://doi.org/10.1787/3197152b-en</w:t>
      </w:r>
    </w:p>
    <w:p>
      <w:r>
        <w:rPr>
          <w:rFonts w:ascii="Times New Roman" w:hAnsi="Times New Roman"/>
          <w:sz w:val="24"/>
        </w:rPr>
        <w:t>Patton, M. Q. (2015). *Qualitative research &amp; evaluation methods* (4th ed.). Sage.</w:t>
      </w:r>
    </w:p>
    <w:p>
      <w:r>
        <w:rPr>
          <w:rFonts w:ascii="Times New Roman" w:hAnsi="Times New Roman"/>
          <w:sz w:val="24"/>
        </w:rPr>
        <w:t>Rasool, K. N., &amp; Naidoo, P. (2024). The sustainability of information and communication technology (ICT) in previously disadvantaged public schools in Gauteng, South Africa. *South African Journal of Education*, 44(1), Art. #2302. https://doi.org/10.15700/saje.v44n1a2302</w:t>
      </w:r>
    </w:p>
    <w:p>
      <w:r>
        <w:rPr>
          <w:rFonts w:ascii="Times New Roman" w:hAnsi="Times New Roman"/>
          <w:sz w:val="24"/>
        </w:rPr>
        <w:t>Sepadi, M. D., &amp; Themane, M. J. (2025). Creating capacity for change through short learning programmes for professional learning for inclusive education of teachers in South Africa. *South African Journal of Education*, 45(1), Art. #2399. https://doi.org/10.15700/saje.v45n1a2399</w:t>
      </w:r>
    </w:p>
    <w:p>
      <w:r>
        <w:rPr>
          <w:rFonts w:ascii="Times New Roman" w:hAnsi="Times New Roman"/>
          <w:sz w:val="24"/>
        </w:rPr>
        <w:t>State Council of the People's Republic of China. (2019). *National vocational education reform implementation plan* (国发〔2019〕4号). Beijing: State Council.</w:t>
      </w:r>
    </w:p>
    <w:p>
      <w:r>
        <w:rPr>
          <w:rFonts w:ascii="Times New Roman" w:hAnsi="Times New Roman"/>
          <w:sz w:val="24"/>
        </w:rPr>
        <w:t>Timperley, H. (2011). *Realizing the power of professional learning*. Open University Press.</w:t>
      </w:r>
    </w:p>
    <w:p>
      <w:r>
        <w:rPr>
          <w:rFonts w:ascii="Times New Roman" w:hAnsi="Times New Roman"/>
          <w:sz w:val="24"/>
        </w:rPr>
        <w:t>Verster, M., Mentz, E., &amp; du Toit-Brits, C. (2024). Self-directed professional development used as intervention to enhance teachers' curriculum as praxis. *South African Journal of Education*, 44(1), Art. #2346. https://doi.org/10.15700/saje.v44n1a2346</w:t>
      </w:r>
    </w:p>
    <w:p>
      <w:r>
        <w:rPr>
          <w:rFonts w:ascii="Times New Roman" w:hAnsi="Times New Roman"/>
          <w:sz w:val="24"/>
        </w:rPr>
        <w:t>ILO. (2021). *Skills development in the time of COVID-19: Taking stock of the initial responses in technical and vocational education and training*. International Labour Organization. https://www.ilo.org/publications/skills-development-time-covid-19</w:t>
      </w:r>
    </w:p>
    <w:p>
      <w:r>
        <w:rPr>
          <w:rFonts w:ascii="Times New Roman" w:hAnsi="Times New Roman"/>
          <w:sz w:val="24"/>
        </w:rPr>
        <w:t>Yin, R. K. (2018). *Case study research and applications: Design and methods* (6th ed.). Sage.</w:t>
      </w:r>
    </w:p>
    <w:p>
      <w:r>
        <w:rPr>
          <w:rFonts w:ascii="Times New Roman" w:hAnsi="Times New Roman"/>
          <w:sz w:val="24"/>
        </w:rPr>
        <w:t>---</w:t>
      </w:r>
    </w:p>
    <w:p>
      <w:r>
        <w:rPr>
          <w:rFonts w:ascii="Times New Roman" w:hAnsi="Times New Roman"/>
          <w:sz w:val="24"/>
        </w:rPr>
        <w:t>## Appendix: Declarations for Title Page Only</w:t>
      </w:r>
    </w:p>
    <w:p>
      <w:r>
        <w:rPr>
          <w:rFonts w:ascii="Times New Roman" w:hAnsi="Times New Roman"/>
          <w:sz w:val="24"/>
        </w:rPr>
        <w:t>The following information is provided for the Title Page and is not included in the anonymised manuscript body for double-blind review:</w:t>
      </w:r>
    </w:p>
    <w:p>
      <w:r>
        <w:rPr>
          <w:rFonts w:ascii="Times New Roman" w:hAnsi="Times New Roman"/>
          <w:sz w:val="24"/>
        </w:rPr>
        <w:t>- **Funding:** This research was supported by institutional teaching reform funds administered by the university research office.</w:t>
      </w:r>
    </w:p>
    <w:p>
      <w:r>
        <w:rPr>
          <w:rFonts w:ascii="Times New Roman" w:hAnsi="Times New Roman"/>
          <w:sz w:val="24"/>
        </w:rPr>
        <w:t>- **Conflict of interest:** The authors declare no conflict of interest.</w:t>
      </w:r>
    </w:p>
    <w:p>
      <w:r>
        <w:rPr>
          <w:rFonts w:ascii="Times New Roman" w:hAnsi="Times New Roman"/>
          <w:sz w:val="24"/>
        </w:rPr>
        <w:t>- **Ethical clearance:** Ethical approval was obtained from the institutional research ethics committee.</w:t>
      </w:r>
    </w:p>
    <w:p>
      <w:r>
        <w:rPr>
          <w:rFonts w:ascii="Times New Roman" w:hAnsi="Times New Roman"/>
          <w:sz w:val="24"/>
        </w:rPr>
        <w:t>- **Author contributions:** The corresponding author conceptualised the study, designed the methodology, conducted data analysis, and drafted the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