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Self-directed study: a vocational teacher built 10 UAV courses in four years.</w:t>
      </w:r>
    </w:p>
    <w:p>
      <w:pPr>
        <w:pStyle w:val="ListBullet"/>
      </w:pPr>
      <w:r>
        <w:rPr>
          <w:rFonts w:ascii="Times New Roman" w:hAnsi="Times New Roman"/>
          <w:sz w:val="24"/>
        </w:rPr>
        <w:t>Zero-cost model: no external training, IT infrastructure, or licencing fees.</w:t>
      </w:r>
    </w:p>
    <w:p>
      <w:pPr>
        <w:pStyle w:val="ListBullet"/>
      </w:pPr>
      <w:r>
        <w:rPr>
          <w:rFonts w:ascii="Times New Roman" w:hAnsi="Times New Roman"/>
          <w:sz w:val="24"/>
        </w:rPr>
        <w:t>Three auxiliary cases across disciplines and life stages demonstrate transferability.</w:t>
      </w:r>
    </w:p>
    <w:p>
      <w:pPr>
        <w:pStyle w:val="ListBullet"/>
      </w:pPr>
      <w:r>
        <w:rPr>
          <w:rFonts w:ascii="Times New Roman" w:hAnsi="Times New Roman"/>
          <w:sz w:val="24"/>
        </w:rPr>
        <w:t>Implications for teacher training policy in developing-country vocational education.</w:t>
      </w:r>
    </w:p>
    <w:p>
      <w:pPr>
        <w:pStyle w:val="ListBullet"/>
      </w:pPr>
      <w:r>
        <w:rPr>
          <w:rFonts w:ascii="Times New Roman" w:hAnsi="Times New Roman"/>
          <w:sz w:val="24"/>
        </w:rPr>
        <w:t>A pragmatic bridge, not a replacement, for formal teacher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