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Highlights — v1.4 (Pre-Submission)</w:t>
      </w:r>
    </w:p>
    <w:p/>
    <w:p>
      <w:r>
        <w:rPr>
          <w:rFonts w:ascii="Times New Roman" w:hAnsi="Times New Roman"/>
          <w:sz w:val="24"/>
        </w:rPr>
        <w:t>• Self-directed study enabled a vocational teacher to build 10 UAV courses in four years.</w:t>
      </w:r>
    </w:p>
    <w:p>
      <w:r>
        <w:rPr>
          <w:rFonts w:ascii="Times New Roman" w:hAnsi="Times New Roman"/>
          <w:sz w:val="24"/>
        </w:rPr>
        <w:t>• The zero-cost model required no external training, IT infrastructure, or licencing fees.</w:t>
      </w:r>
    </w:p>
    <w:p>
      <w:r>
        <w:rPr>
          <w:rFonts w:ascii="Times New Roman" w:hAnsi="Times New Roman"/>
          <w:sz w:val="24"/>
        </w:rPr>
        <w:t>• Three auxiliary cases across disciplines and life stages demonstrate transferability.</w:t>
      </w:r>
    </w:p>
    <w:p>
      <w:r>
        <w:rPr>
          <w:rFonts w:ascii="Times New Roman" w:hAnsi="Times New Roman"/>
          <w:sz w:val="24"/>
        </w:rPr>
        <w:t>• The model carries implications for teacher training policy in developing countries.</w:t>
      </w:r>
    </w:p>
    <w:p>
      <w:r>
        <w:rPr>
          <w:rFonts w:ascii="Times New Roman" w:hAnsi="Times New Roman"/>
          <w:sz w:val="24"/>
        </w:rPr>
        <w:t>• A pragmatic bridge, not a replacement, for formal teacher education.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