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 Technology-Assisted Self-Directed Professional Development for Cross-Disciplinary Vocational Teachers: A Mixed-Methods Study from Chinese UAV Education</w:t>
      </w:r>
    </w:p>
    <w:p>
      <w:r>
        <w:rPr>
          <w:rFonts w:ascii="Times New Roman" w:hAnsi="Times New Roman"/>
          <w:sz w:val="24"/>
        </w:rPr>
        <w:t>## Abstract</w:t>
      </w:r>
    </w:p>
    <w:p>
      <w:r>
        <w:rPr>
          <w:rFonts w:ascii="Times New Roman" w:hAnsi="Times New Roman"/>
          <w:sz w:val="24"/>
        </w:rPr>
        <w:t>**Background**: The rapid expansion of vocational education and training (VET) worldwide has created a structural shortage of discipline-matched teachers, forcing large numbers of vocational educators into cross-disciplinary teaching assignments for which they lack formal preparation. In China's unmanned aerial vehicle (UAV) vocational education sector, which has grown to over 200 programmes since the 2019 national VET reform, most teachers have been reassigned from adjacent fields such as surveying, mechanical engineering, and electronics. Traditional professional development models—off-site training, degree study, and school-based mentoring—prove insufficient for this population due to cost, time, and the absence of UAV-specific expertise within institutions. This study empirically examines a zero-cost, self-directed, technology-assisted professional development model (NFSC+Agent) designed to address this gap.</w:t>
      </w:r>
    </w:p>
    <w:p>
      <w:r>
        <w:rPr>
          <w:rFonts w:ascii="Times New Roman" w:hAnsi="Times New Roman"/>
          <w:sz w:val="24"/>
        </w:rPr>
        <w:t>**Methods**: A convergent parallel mixed-methods design integrated three data modules: (A) administrative background surveys (target N ≥ 20) profiling Sichuan province UAV colleges; (B) peer teacher evaluations (target N ≥ 40) from 30+ institutions, using a 15-item Likert instrument across seven dimensions plus two open-ended questions; and (C) student usability questionnaires (target N ≥ 60) comprising the System Usability Scale (SUS), Technology Acceptance Model (TAM) subscales, and agent satisfaction items. Longitudinal teaching archives spanning 10 semesters (2021–2025) provided process evidence. Quantitative data were analysed using descriptive statistics, independent-sample t-tests, and Cronbach's alpha for internal consistency; qualitative open-ended responses were analysed using thematic analysis.</w:t>
      </w:r>
    </w:p>
    <w:p>
      <w:r>
        <w:rPr>
          <w:rFonts w:ascii="Times New Roman" w:hAnsi="Times New Roman"/>
          <w:sz w:val="24"/>
        </w:rPr>
        <w:t>**Results**: [DATA PENDING — questionnaire data collection scheduled for June–July 2026]</w:t>
      </w:r>
    </w:p>
    <w:p>
      <w:r>
        <w:rPr>
          <w:rFonts w:ascii="Times New Roman" w:hAnsi="Times New Roman"/>
          <w:sz w:val="24"/>
        </w:rPr>
        <w:t>**Conclusions**: [DATA PENDING]</w:t>
      </w:r>
    </w:p>
    <w:p>
      <w:r>
        <w:rPr>
          <w:rFonts w:ascii="Times New Roman" w:hAnsi="Times New Roman"/>
          <w:sz w:val="24"/>
        </w:rPr>
        <w:t>**Keywords**: vocational education and training; teacher professional development; cross-disciplinary teaching; self-directed learning; technology-assisted learning; mixed-methods; UAV education</w:t>
      </w:r>
    </w:p>
    <w:p>
      <w:r>
        <w:rPr>
          <w:rFonts w:ascii="Times New Roman" w:hAnsi="Times New Roman"/>
          <w:sz w:val="24"/>
        </w:rPr>
        <w:t>## §1 Introduction</w:t>
      </w:r>
    </w:p>
    <w:p>
      <w:r>
        <w:rPr>
          <w:rFonts w:ascii="Times New Roman" w:hAnsi="Times New Roman"/>
          <w:sz w:val="24"/>
        </w:rPr>
        <w:t>The global expansion of vocational education and training (VET) has outpaced the supply of qualified teachers, producing a structural phenomenon in which substantial numbers of VET educators teach outside their formal disciplinary training (Ingersoll, 2003; Misra, 2011). The OECD has identified teacher shortages as one of the most persistent challenges facing VET systems internationally, particularly in rapidly industrialising economies where new technical programmes are launched before a corresponding teacher workforce can be cultivated (OECD, 2021). In China, this challenge is acute. The 2019 National Vocational Education Reform Implementation Plan (State Council, 2019) catalysed a wave of programme expansion across higher vocational colleges, with emerging technical disciplines such as unmanned aerial vehicle (UAV) application technology proliferating from fewer than 50 programmes in 2017 to over 200 by 2023. The speed of this expansion has created an unprecedented demand for UAV-specialist teachers that the existing teacher education pipeline cannot meet.</w:t>
      </w:r>
    </w:p>
    <w:p>
      <w:r>
        <w:rPr>
          <w:rFonts w:ascii="Times New Roman" w:hAnsi="Times New Roman"/>
          <w:sz w:val="24"/>
        </w:rPr>
        <w:t>Sichuan province exemplifies the structural dynamics at play. As a major UAV industrial base—hosting manufacturers, testing ranges, and agricultural UAV application zones—the province has experienced rapid UAV programme expansion across its higher vocational colleges. Yet a recent capacity-mapping exercise conducted by the research group revealed that fewer than one in ten UAV teachers across Sichuan VET institutions possessed formal UAV academic training. The overwhelming majority had been reassigned from surveying and mapping, mechanical engineering, electronics, or agronomy backgrounds. These cross-disciplinary teachers enter UAV classrooms with domain knowledge from their original disciplines but without systematic preparation in UAV-specific content, industry standards, equipment operation, or safety protocols. By institutional mandate, they must function as UAV subject-matter experts while simultaneously constructing that expertise through self-directed means.</w:t>
      </w:r>
    </w:p>
    <w:p>
      <w:r>
        <w:rPr>
          <w:rFonts w:ascii="Times New Roman" w:hAnsi="Times New Roman"/>
          <w:sz w:val="24"/>
        </w:rPr>
        <w:t>The professional development infrastructure available to these teachers is constrained. Off-site training programmes offered by UAV manufacturers or industry associations are intermittent, costly, and typically accommodate only one or two teachers per institution per year. Graduate degree study in UAV-related fields, while theoretically available, imposes prohibitive time costs on in-service teachers who carry full teaching loads of 16–20 contact hours per week. School-based professional development, the default mechanism in most vocational colleges, is designed around mentoring by experienced colleagues within the same discipline—a resource that, by definition, does not exist for newly launched UAV programmes where no senior UAV teacher is present. The resulting situation is one of institutionalised improvisation: teachers must become UAV-competent largely through their own efforts, with minimal institutional support.</w:t>
      </w:r>
    </w:p>
    <w:p>
      <w:r>
        <w:rPr>
          <w:rFonts w:ascii="Times New Roman" w:hAnsi="Times New Roman"/>
          <w:sz w:val="24"/>
        </w:rPr>
        <w:t>Technology-assisted self-directed learning has been proposed as a potentially transformative approach for teacher professional development in resource-constrained contexts (Fishman et al., 2013), yet systematic empirical evidence of its application to cross-disciplinary VET teachers remains absent from the literature. This paper addresses that gap by reporting a mixed-methods empirical investigation of the NFSC+Agent self-directed development model—a zero-cost, technology-assisted approach in which a structured four-phase self-study methodology (Narrative–Framework–Scene–Creation, NFSC) is combined with a suite of nine role-specialised artificial intelligence agents to scaffold cross-disciplinary learning. The model was implemented over five years (2021–2025) in the context of Chinese UAV vocational education, resulting in eight fully developed UAV courses (of a total of ten UAV courses taught) across four categories (control, theory, application, data) and a web-based learning portal (CD-UAV) that serves both teacher self-study and student learning support functions.</w:t>
      </w:r>
    </w:p>
    <w:p>
      <w:r>
        <w:rPr>
          <w:rFonts w:ascii="Times New Roman" w:hAnsi="Times New Roman"/>
          <w:sz w:val="24"/>
        </w:rPr>
        <w:t>This study was guided by two research questions:</w:t>
      </w:r>
    </w:p>
    <w:p>
      <w:r>
        <w:rPr>
          <w:rFonts w:ascii="Times New Roman" w:hAnsi="Times New Roman"/>
          <w:sz w:val="24"/>
        </w:rPr>
        <w:t>- **RQ1**: How does the NFSC+Agent self-directed model support cross-disciplinary VET teacher development, as evidenced by longitudinal teaching practice and learner-perceived usability?</w:t>
      </w:r>
    </w:p>
    <w:p>
      <w:r>
        <w:rPr>
          <w:rFonts w:ascii="Times New Roman" w:hAnsi="Times New Roman"/>
          <w:sz w:val="24"/>
        </w:rPr>
        <w:t>- **RQ2**: How do external peer teachers perceive the model's pedagogical effectiveness and transferability to other VET institutions?</w:t>
      </w:r>
    </w:p>
    <w:p>
      <w:r>
        <w:rPr>
          <w:rFonts w:ascii="Times New Roman" w:hAnsi="Times New Roman"/>
          <w:sz w:val="24"/>
        </w:rPr>
        <w:t>The paper is structured as follows. Section 2 reviews the intersecting literatures on cross-disciplinary teaching in VET, self-directed teacher professional development, technology-supported teacher learning, and competence measurement in VET research. Section 3 details the mixed-methods design, participants, instruments, and analytical procedures. Section 4 presents results from the three data modules. Section 5 discusses findings in relation to the research questions and existing literature, and Section 6 concludes with contributions, limitations, and future directions.</w:t>
      </w:r>
    </w:p>
    <w:p>
      <w:r>
        <w:rPr>
          <w:rFonts w:ascii="Times New Roman" w:hAnsi="Times New Roman"/>
          <w:sz w:val="24"/>
        </w:rPr>
        <w:t>## §2 Literature Review</w:t>
      </w:r>
    </w:p>
    <w:p>
      <w:r>
        <w:rPr>
          <w:rFonts w:ascii="Times New Roman" w:hAnsi="Times New Roman"/>
          <w:sz w:val="24"/>
        </w:rPr>
        <w:t>### 2.1 Cross-Disciplinary Teaching in Vocational Education and Training</w:t>
      </w:r>
    </w:p>
    <w:p>
      <w:r>
        <w:rPr>
          <w:rFonts w:ascii="Times New Roman" w:hAnsi="Times New Roman"/>
          <w:sz w:val="24"/>
        </w:rPr>
        <w:t>Cross-disciplinary teaching—also described as out-of-field teaching—refers to the assignment of teachers to subjects for which they lack formal qualification. Ingersoll's (2003) influential analysis established that out-of-field teaching is not a temporary remedial measure but a structural feature of education systems worldwide, driven by mismatches between teacher supply and curriculum demand. In VET, this phenomenon takes on additional dimensions of complexity. Unlike general education, where out-of-field teaching primarily involves content knowledge gaps, VET cross-disciplinary teaching also requires mastery of industry-specific procedural knowledge, equipment operation protocols, safety standards, and certification frameworks (Grollmann, 2008; Billett, 2014). A mechanical engineer reassigned to teach UAV maintenance, for example, must acquire not only aeronautical knowledge but also the regulatory framework of the Civil Aviation Administration of China (CAAC), practical flight operation skills, and familiarity with rapid technological iteration in the UAV industry.</w:t>
      </w:r>
    </w:p>
    <w:p>
      <w:r>
        <w:rPr>
          <w:rFonts w:ascii="Times New Roman" w:hAnsi="Times New Roman"/>
          <w:sz w:val="24"/>
        </w:rPr>
        <w:t>Akkerman and Bakker's (2011) theory of boundary crossing provides a productive lens for understanding this transition. Boundary crossing describes the process by which individuals navigate between different sociocultural practices, negotiating discontinuities in norms, tools, and knowledge structures. For cross-disciplinary VET teachers, the boundary between their original discipline and UAV technology constitutes a learning challenge that neither traditional formal education nor conventional short-term training fully addresses. The boundary crossing framework suggests that effective transitions require "boundary objects"—artefacts that inhabit multiple intersecting social worlds and facilitate communication and learning across them. In the context of this study, the CD-UAV portal and its integrated NFSC+Agent system function as such a boundary object, translating between the teacher's prior knowledge domain and the target UAV teaching domain.</w:t>
      </w:r>
    </w:p>
    <w:p>
      <w:r>
        <w:rPr>
          <w:rFonts w:ascii="Times New Roman" w:hAnsi="Times New Roman"/>
          <w:sz w:val="24"/>
        </w:rPr>
        <w:t>Recent empirical work in *Empirical Research in Vocational Education and Training* (ER-VET) has advanced the measurement and conceptualisation of VET teacher competence. Bottling et al. (2024), in an 18-month longitudinal study of VET teacher training in Germany, demonstrated that motivational and emotional states significantly influence participation trajectories, suggesting that self-directed models must account for affective dimensions of learning, not merely cognitive ones. Ma et al. (2024) explored the interplay between vocational competence and dropout intention among apprentices, underscoring the importance of competence development pathways that maintain learner engagement—a finding with direct implications for teacher self-study design.</w:t>
      </w:r>
    </w:p>
    <w:p>
      <w:r>
        <w:rPr>
          <w:rFonts w:ascii="Times New Roman" w:hAnsi="Times New Roman"/>
          <w:sz w:val="24"/>
        </w:rPr>
        <w:t>### 2.2 Self-Directed Teacher Professional Development</w:t>
      </w:r>
    </w:p>
    <w:p>
      <w:r>
        <w:rPr>
          <w:rFonts w:ascii="Times New Roman" w:hAnsi="Times New Roman"/>
          <w:sz w:val="24"/>
        </w:rPr>
        <w:t>The concept of self-directed learning has been central to adult education theory for five decades. Knowles (1975) articulated it as a process "in which individuals take the initiative, with or without the help of others, in diagnosing their learning needs, formulating learning goals, identifying human and material resources for learning, choosing and implementing appropriate learning strategies, and evaluating learning outcomes." Brookfield (1986) extended this framework by emphasising the critical reflective dimension: self-directed learners not only manage the logistics of their learning but also critically examine the assumptions underlying their practice. This capacity proves particularly important for teachers building competence in unfamiliar disciplines where established pedagogical scripts do not exist.</w:t>
      </w:r>
    </w:p>
    <w:p>
      <w:r>
        <w:rPr>
          <w:rFonts w:ascii="Times New Roman" w:hAnsi="Times New Roman"/>
          <w:sz w:val="24"/>
        </w:rPr>
        <w:t>Eraut's (2004) research on informal workplace learning bears directly on the cross-disciplinary VET teacher scenario. Eraut distinguished between deliberative learning (planned, goal-directed), reactive learning (spontaneous reflection on experience), and implicit learning (unconscious absorption of workplace practices). The NFSC+Agent model aims to convert what would otherwise remain implicit or reactive learning into deliberative, structured self-study—transforming the workplace from a site of ad hoc adaptation into a designed learning environment. This is consistent with Billett's (2014) concept of "learning in the circumstances of practice," which holds that workplace learning can be optimised through intentional structuring of practice experiences and guided access to expert knowledge.</w:t>
      </w:r>
    </w:p>
    <w:p>
      <w:r>
        <w:rPr>
          <w:rFonts w:ascii="Times New Roman" w:hAnsi="Times New Roman"/>
          <w:sz w:val="24"/>
        </w:rPr>
        <w:t>Within the VET-specific literature, Dymock and Tyler (2018) argued for a more systematic approach to continuing professional development (CPD) in VET, noting that the sector has historically relied on episodic, supply-driven training that poorly serves teachers in specialised or emerging technical fields. Their call for "demand-driven," workplace-embedded CPD models aligns with the self-directed logic of the NFSC+Agent approach. Deissinger and Gonon (2021) observed that the cultural foundations of VET systems shape teacher identity and professional development expectations: in apprenticeship-strong systems such as Germany and Switzerland, the master–apprentice model influences teacher development expectations, whereas in school-based VET systems such as China's, institutional mechanisms for teacher learning must be designed differently.</w:t>
      </w:r>
    </w:p>
    <w:p>
      <w:r>
        <w:rPr>
          <w:rFonts w:ascii="Times New Roman" w:hAnsi="Times New Roman"/>
          <w:sz w:val="24"/>
        </w:rPr>
        <w:t>### 2.3 Technology-Supported Teacher Learning</w:t>
      </w:r>
    </w:p>
    <w:p>
      <w:r>
        <w:rPr>
          <w:rFonts w:ascii="Times New Roman" w:hAnsi="Times New Roman"/>
          <w:sz w:val="24"/>
        </w:rPr>
        <w:t>The integration of technology into teacher professional development has evolved from early uses of learning management systems for content delivery to more sophisticated applications of artificial intelligence and adaptive learning (Fishman et al., 2013). Kali et al. (2015) proposed that teachers function as "designers of technology-enhanced learning," actively shaping digital tools to their pedagogical contexts rather than passively receiving pre-packaged solutions. This designer stance is reflected in the NFSC+Agent model, where teachers populate agent templates with discipline-specific content and adapt the platform architecture to their own teaching needs.</w:t>
      </w:r>
    </w:p>
    <w:p>
      <w:r>
        <w:rPr>
          <w:rFonts w:ascii="Times New Roman" w:hAnsi="Times New Roman"/>
          <w:sz w:val="24"/>
        </w:rPr>
        <w:t>Within the VET sector, technology adoption research has identified distinctive barriers. Zubizarreta Pagaldai et al. (2025) found in their study of basic VET students in Spain that digital competence is shaped by an interplay of institutional infrastructure, teacher modelling, and curriculum integration—factors that apply equally to VET teachers' own learning with technology. Gentner et al. (2026) compared trainee and in-service teachers' implementation of simulation-based learning environments, finding that in-service teachers may be more receptive to technology adoption when it directly addresses practical teaching challenges. This finding supports the positioning of NFSC+Agent as a response to the concrete problem of cross-disciplinary teaching competence rather than a technology adoption initiative.</w:t>
      </w:r>
    </w:p>
    <w:p>
      <w:r>
        <w:rPr>
          <w:rFonts w:ascii="Times New Roman" w:hAnsi="Times New Roman"/>
          <w:sz w:val="24"/>
        </w:rPr>
        <w:t>The role of artificial intelligence agents in teacher learning is an emerging research frontier. Pargmann et al. (2025), in a study published in ER-VET, demonstrated that AI-generated feedback could support vocational teacher trainees' lesson planning in a longitudinal intervention design. Their finding that "analytical AI platforms" can provide structure and feedback in the absence of human mentors bears directly on the present study, where the nine-specialised-agent system functions as a distributed cognitive scaffold for the cross-disciplinary teacher. Pargmann et al. employed a longitudinal intervention design with repeated measures; this study extends that approach by adding the multi-stakeholder evaluation dimension (peer teachers and students) that the authors identified as a limitation of their single-stakeholder design.</w:t>
      </w:r>
    </w:p>
    <w:p>
      <w:r>
        <w:rPr>
          <w:rFonts w:ascii="Times New Roman" w:hAnsi="Times New Roman"/>
          <w:sz w:val="24"/>
        </w:rPr>
        <w:t>Similarly, Bottling et al. (2024) traced VET teacher trainees' participation trajectories over 18 months in an ER-VET study, finding that motivational and emotional states significantly influenced sustained engagement. This finding carries implications for the self-directed model under investigation, which relies heavily on sustained teacher motivation over years rather than months. Gentner et al. (2026) compared trainee and in-service teachers' implementation of simulation-based learning, demonstrating that in-service teachers' greater practical teaching experience influenced their technology adoption patterns differently from trainees—a distinction relevant to the present study's focus on practising (rather than pre-service) cross-disciplinary teachers. These ER-VET studies define a methodological and substantive landscape within which the present investigation is positioned: longitudinal designs with multiple measurement points, attention to motivational and affective dimensions of technology-supported learning, and sensitivity to the practising-versus-trainee distinction in VET teacher populations.</w:t>
      </w:r>
    </w:p>
    <w:p>
      <w:r>
        <w:rPr>
          <w:rFonts w:ascii="Times New Roman" w:hAnsi="Times New Roman"/>
          <w:sz w:val="24"/>
        </w:rPr>
        <w:t>### 2.4 Competence Measurement and Test Instrument Validation in VET</w:t>
      </w:r>
    </w:p>
    <w:p>
      <w:r>
        <w:rPr>
          <w:rFonts w:ascii="Times New Roman" w:hAnsi="Times New Roman"/>
          <w:sz w:val="24"/>
        </w:rPr>
        <w:t>The validation of assessment instruments is an explicitly articulated scope area for ER-VET and a methodological priority for this study. Shulman's (1987) pedagogical content knowledge (PCK) framework—which posits that effective teaching requires the integration of content knowledge with pedagogical knowledge specific to the teaching of that content—has been extended to VET contexts where "content knowledge" encompasses both theoretical understanding and procedural industry competence (Rauner &amp; Maclean, 2008). Validating instruments that measure both the teacher's self-study process and its learner-perceived outcomes therefore requires triangulation across multiple stakeholder perspectives.</w:t>
      </w:r>
    </w:p>
    <w:p>
      <w:r>
        <w:rPr>
          <w:rFonts w:ascii="Times New Roman" w:hAnsi="Times New Roman"/>
          <w:sz w:val="24"/>
        </w:rPr>
        <w:t>The System Usability Scale (SUS), developed by Brooke (1996), has become one of the most widely used standardised instruments for evaluating the usability of technology systems. Its ten-item, five-point Likert format yields a composite score on a 0–100 scale, with established benchmarks: scores above 68 are considered above average, and scores above 80.3 are in the "excellent" range (Sauro &amp; Lewis, 2016). The SUS has been applied in educational technology contexts globally, though its use in VET-specific technology evaluation remains relatively uncommon, representing a methodological contribution of this study.</w:t>
      </w:r>
    </w:p>
    <w:p>
      <w:r>
        <w:rPr>
          <w:rFonts w:ascii="Times New Roman" w:hAnsi="Times New Roman"/>
          <w:sz w:val="24"/>
        </w:rPr>
        <w:t>The Technology Acceptance Model (TAM), originating from Davis (1989), measures two core constructs—perceived usefulness (PU) and perceived ease of use (PEOU)—that predict user adoption of information technology. Venkatesh and Bala (2008) extended the TAM framework (TAM3) to incorporate additional determinants, but the PU–PEOU core remains the most parsimonious and widely validated model for technology acceptance research. In this study, TAM items were adapted to the CD-UAV portal context to capture students' perceptions of the platform's usefulness for UAV learning and its ease of use.</w:t>
      </w:r>
    </w:p>
    <w:p>
      <w:r>
        <w:rPr>
          <w:rFonts w:ascii="Times New Roman" w:hAnsi="Times New Roman"/>
          <w:sz w:val="24"/>
        </w:rPr>
        <w:t>The peer evaluation instrument developed for this study—a 15-item Likert scale covering seven dimensions of the NFSC+Agent model—was designed following established principles for educational instrument development (Creswell &amp; Plano Clark, 2017). Recent ER-VET publications have modelled rigorous instrument validation approaches: Meijer et al. (2025) mapped teachers' perceptions of assessment competence in Dutch higher VET using factor-analytic methods, and Welsandt et al. (2024) developed and validated a technology-based assessment of economic literacy with multi-stage expert review and pilot testing. This study adopts analogous validation procedures, reporting Cronbach's alpha for all instruments and subjecting the peer evaluation instrument to expert review prior to field deployment.</w:t>
      </w:r>
    </w:p>
    <w:p>
      <w:r>
        <w:rPr>
          <w:rFonts w:ascii="Times New Roman" w:hAnsi="Times New Roman"/>
          <w:sz w:val="24"/>
        </w:rPr>
        <w:t>### 2.5 Research Gap</w:t>
      </w:r>
    </w:p>
    <w:p>
      <w:r>
        <w:rPr>
          <w:rFonts w:ascii="Times New Roman" w:hAnsi="Times New Roman"/>
          <w:sz w:val="24"/>
        </w:rPr>
        <w:t>The preceding review identifies a convergence point that remains unexplored in the empirical literature. This intersection encompasses cross-disciplinary VET teacher development, self-directed learning supported by zero-cost technology (including AI agents), and multi-stakeholder empirical validation combining peer teacher evaluation and standardised usability instruments. While each of these domains has received individual scholarly attention, no study has examined how a self-directed, technology-assisted model functions when deployed for a single cross-disciplinary VET teacher and then evaluated by external peer teachers from multiple institutions. This gap is both theoretical—understanding the mechanisms by which boundary crossing is supported by structured self-study protocols—and practical—determining whether such a model can be transferred to other VET institutions facing similar cross-disciplinary staffing challenges.</w:t>
      </w:r>
    </w:p>
    <w:p>
      <w:r>
        <w:rPr>
          <w:rFonts w:ascii="Times New Roman" w:hAnsi="Times New Roman"/>
          <w:sz w:val="24"/>
        </w:rPr>
        <w:t>## §3 Methodology</w:t>
      </w:r>
    </w:p>
    <w:p>
      <w:r>
        <w:rPr>
          <w:rFonts w:ascii="Times New Roman" w:hAnsi="Times New Roman"/>
          <w:sz w:val="24"/>
        </w:rPr>
        <w:t>### 3.1 Research Design</w:t>
      </w:r>
    </w:p>
    <w:p>
      <w:r>
        <w:rPr>
          <w:rFonts w:ascii="Times New Roman" w:hAnsi="Times New Roman"/>
          <w:sz w:val="24"/>
        </w:rPr>
        <w:t>This study employed a convergent parallel mixed-methods design (Creswell &amp; Plano Clark, 2017), integrating quantitative and qualitative data collected simultaneously from three distinct respondent groups. The quantitative strand was prioritised, with qualitative data serving a complementary function to contextualise and enrich numerical findings. This design aligned with ER-VET's emphasis on empirical investigation and instrument validation. It also addressed both the effectiveness of the intervention (RQ1, primarily through Module C student data and Module A institutional context) and its perceived transferability (RQ2, primarily through Module B peer teacher data).</w:t>
      </w:r>
    </w:p>
    <w:p>
      <w:r>
        <w:rPr>
          <w:rFonts w:ascii="Times New Roman" w:hAnsi="Times New Roman"/>
          <w:sz w:val="24"/>
        </w:rPr>
        <w:t>The intervention under evaluation—the NFSC+Agent self-directed development model—served as the independent condition. The dependent measures comprised: (a) peer teachers' evaluations of the model's pedagogical quality and potential for adoption (15-item Likert scale, seven dimensions); (b) students' perceived usability and technology acceptance of the CD-UAV learning portal (SUS, TAM, and agent satisfaction items); and (c) institutional administrators' characterisation of the cross-disciplinary teaching context (Module A background survey). Longitudinal teaching archives (10 semesters, 2021–2025) provided process evidence to contextualise the intervention's developmental trajectory.</w:t>
      </w:r>
    </w:p>
    <w:p>
      <w:r>
        <w:rPr>
          <w:rFonts w:ascii="Times New Roman" w:hAnsi="Times New Roman"/>
          <w:sz w:val="24"/>
        </w:rPr>
        <w:t>### 3.2 The Intervention: NFSC+Agent Self-Directed Development Model</w:t>
      </w:r>
    </w:p>
    <w:p>
      <w:r>
        <w:rPr>
          <w:rFonts w:ascii="Times New Roman" w:hAnsi="Times New Roman"/>
          <w:sz w:val="24"/>
        </w:rPr>
        <w:t>The NFSC+Agent model—previously described in the research programme literature (Author, 2025)—comprised four integrated components. First, the NFSC methodology provided a structured four-phase self-study protocol: Narrative (motivation triggering through authentic problem scenarios), Framework (systematic knowledge mapping across the target discipline), Scene (competence cultivation through situated practice), and Creation (production of usable teaching outputs). Second, a nine-role agent system, originally developed for a solid waste engineering course and subsequently migrated to the UAV domain, supplied role-specialised scaffolding: agents served variously as knowledge architects, practice-simulators, regulation-checkers, progress-trackers, and career-advisors. Third, the CD-UAV web portal—a zero-cost, dual-card homepage serving both teacher self-study and student learning support functions—organised eight courses across four categories (control, theory, application, and data) within a six-module student interface (course navigation, agent companion, methodology comparison, growth data, licence examination, and career pathways). Fourth, a longitudinal development arc spanning 10 semesters (2021–2025) documented the evolution from a single pilot course to a complete eight-course UAV curriculum, during which the teacher—Teacher Z—transitioned from a surveying and environmental science background to full UAV teaching competence. Teacher Z completed three teaching reform research projects and obtained a copyright registration during this period.</w:t>
      </w:r>
    </w:p>
    <w:p>
      <w:r>
        <w:rPr>
          <w:rFonts w:ascii="Times New Roman" w:hAnsi="Times New Roman"/>
          <w:sz w:val="24"/>
        </w:rPr>
        <w:t>#### 3.2.1 Longitudinal Teaching Archives</w:t>
      </w:r>
    </w:p>
    <w:p>
      <w:r>
        <w:rPr>
          <w:rFonts w:ascii="Times New Roman" w:hAnsi="Times New Roman"/>
          <w:sz w:val="24"/>
        </w:rPr>
        <w:t>The teaching archives comprised: (a) course syllabi and iterative revision records for all eight UAV courses; (b) teaching logs documenting weekly pedagogical decisions, challenges encountered, and adaptations made; (c) student assessment records including examination scores, licence examination pass rates, and competition results; and (d) records of the three teaching reform research projects and copyright registration. These archives serve as process evidence that contextualises the survey findings but are not presented as an independent empirical pillar in the Results section. They are referenced in the Discussion to illustrate the developmental trajectory that the quantitative data partially capture.</w:t>
      </w:r>
    </w:p>
    <w:p>
      <w:r>
        <w:rPr>
          <w:rFonts w:ascii="Times New Roman" w:hAnsi="Times New Roman"/>
          <w:sz w:val="24"/>
        </w:rPr>
        <w:t>### 3.3 Participants and Sampling</w:t>
      </w:r>
    </w:p>
    <w:p>
      <w:r>
        <w:rPr>
          <w:rFonts w:ascii="Times New Roman" w:hAnsi="Times New Roman"/>
          <w:sz w:val="24"/>
        </w:rPr>
        <w:t>Three respondent groups were recruited using purposive and convenience sampling strategies, reflecting the practical constraints of accessing a geographically dispersed and institutionally diverse population of UAV vocational educators in Sichuan province. Table 1 summarises the sampling frame.</w:t>
      </w:r>
    </w:p>
    <w:p>
      <w:r>
        <w:rPr>
          <w:rFonts w:ascii="Times New Roman" w:hAnsi="Times New Roman"/>
          <w:sz w:val="24"/>
        </w:rPr>
        <w:t>| Data module | Respondent group | Sampling strategy | Target N |</w:t>
      </w:r>
    </w:p>
    <w:p>
      <w:r>
        <w:rPr>
          <w:rFonts w:ascii="Times New Roman" w:hAnsi="Times New Roman"/>
          <w:sz w:val="24"/>
        </w:rPr>
        <w:t>|---|---|---|---|</w:t>
      </w:r>
    </w:p>
    <w:p>
      <w:r>
        <w:rPr>
          <w:rFonts w:ascii="Times New Roman" w:hAnsi="Times New Roman"/>
          <w:sz w:val="24"/>
        </w:rPr>
        <w:t>| Module A | Institutional administrators (programme directors, department heads) | Purposive (field visits to Sichuan UAV colleges) | ≥ 20 |</w:t>
      </w:r>
    </w:p>
    <w:p>
      <w:r>
        <w:rPr>
          <w:rFonts w:ascii="Times New Roman" w:hAnsi="Times New Roman"/>
          <w:sz w:val="24"/>
        </w:rPr>
        <w:t>| Module B | Peer teachers from 30+ UAV-related VET institutions | Purposive + snowball (field visits + WeChat) | ≥ 40 |</w:t>
      </w:r>
    </w:p>
    <w:p>
      <w:r>
        <w:rPr>
          <w:rFonts w:ascii="Times New Roman" w:hAnsi="Times New Roman"/>
          <w:sz w:val="24"/>
        </w:rPr>
        <w:t>| Module C | Students who have used the CD-UAV learning portal | Convenience (Wenjuanxing online survey) | ≥ 60 |</w:t>
      </w:r>
    </w:p>
    <w:p>
      <w:r>
        <w:rPr>
          <w:rFonts w:ascii="Times New Roman" w:hAnsi="Times New Roman"/>
          <w:sz w:val="24"/>
        </w:rPr>
        <w:t>Inclusion criteria for Module B required that respondents view the CD-UAV portal and at least two NFSC-structured courses before completing the evaluation questionnaire. For Module C, respondents must have used the CD-UAV portal for at least one semester as part of their UAV coursework. All participation was voluntary, and informed consent was obtained prior to data collection.</w:t>
      </w:r>
    </w:p>
    <w:p>
      <w:r>
        <w:rPr>
          <w:rFonts w:ascii="Times New Roman" w:hAnsi="Times New Roman"/>
          <w:sz w:val="24"/>
        </w:rPr>
        <w:t>### 3.4 Instruments</w:t>
      </w:r>
    </w:p>
    <w:p>
      <w:r>
        <w:rPr>
          <w:rFonts w:ascii="Times New Roman" w:hAnsi="Times New Roman"/>
          <w:sz w:val="24"/>
        </w:rPr>
        <w:t>**Module A — Institutional Background Survey.** A 10-item structured questionnaire collected data on: institutional type and size; year of UAV programme launch; teacher headcount and proportion with UAV-specific academic backgrounds; cross-disciplinary teaching assignment rates; existing professional development mechanisms; and current AI tool usage among UAV teaching staff. Two open-ended items invited respondents to describe perceived challenges in cross-disciplinary teacher development at their institution.</w:t>
      </w:r>
    </w:p>
    <w:p>
      <w:r>
        <w:rPr>
          <w:rFonts w:ascii="Times New Roman" w:hAnsi="Times New Roman"/>
          <w:sz w:val="24"/>
        </w:rPr>
        <w:t>**Module B — Peer Teacher Evaluation Instrument.** A 15-item Likert-scale questionnaire (1 = Strongly Disagree to 5 = Strongly Agree) was developed for this study, organised into seven evaluative dimensions mapped to the CD-UAV portal's six student modules plus an overall transferability assessment:</w:t>
      </w:r>
    </w:p>
    <w:p>
      <w:r>
        <w:rPr>
          <w:rFonts w:ascii="Times New Roman" w:hAnsi="Times New Roman"/>
          <w:sz w:val="24"/>
        </w:rPr>
        <w:t>- *Course Navigation* (B1–B2): Perceived clarity and comprehensiveness of course categorisation and sequencing.</w:t>
      </w:r>
    </w:p>
    <w:p>
      <w:r>
        <w:rPr>
          <w:rFonts w:ascii="Times New Roman" w:hAnsi="Times New Roman"/>
          <w:sz w:val="24"/>
        </w:rPr>
        <w:t>- *Agent Companion* (B3–B5): Perceived pedagogical utility of the nine-role agent system for self-study scaffolding.</w:t>
      </w:r>
    </w:p>
    <w:p>
      <w:r>
        <w:rPr>
          <w:rFonts w:ascii="Times New Roman" w:hAnsi="Times New Roman"/>
          <w:sz w:val="24"/>
        </w:rPr>
        <w:t>- *Methodology Comparison* (B6–B7): Perceived alignment of NFSC methodology with VET teaching requirements.</w:t>
      </w:r>
    </w:p>
    <w:p>
      <w:r>
        <w:rPr>
          <w:rFonts w:ascii="Times New Roman" w:hAnsi="Times New Roman"/>
          <w:sz w:val="24"/>
        </w:rPr>
        <w:t>- *Licence System* (B8–B9): Perceived adequacy of licence examination support.</w:t>
      </w:r>
    </w:p>
    <w:p>
      <w:r>
        <w:rPr>
          <w:rFonts w:ascii="Times New Roman" w:hAnsi="Times New Roman"/>
          <w:sz w:val="24"/>
        </w:rPr>
        <w:t>- *Career Pathways* (B10–B11): Perceived relevance of employment direction mapping.</w:t>
      </w:r>
    </w:p>
    <w:p>
      <w:r>
        <w:rPr>
          <w:rFonts w:ascii="Times New Roman" w:hAnsi="Times New Roman"/>
          <w:sz w:val="24"/>
        </w:rPr>
        <w:t>- *Growth Data* (B12): Perceived utility of student progress tracking features.</w:t>
      </w:r>
    </w:p>
    <w:p>
      <w:r>
        <w:rPr>
          <w:rFonts w:ascii="Times New Roman" w:hAnsi="Times New Roman"/>
          <w:sz w:val="24"/>
        </w:rPr>
        <w:t>- *Transferability* (B13): Overall judgement on whether the model could be adapted to the respondent's own institution and discipline.</w:t>
      </w:r>
    </w:p>
    <w:p>
      <w:r>
        <w:rPr>
          <w:rFonts w:ascii="Times New Roman" w:hAnsi="Times New Roman"/>
          <w:sz w:val="24"/>
        </w:rPr>
        <w:t>Two open-ended questions (B14–B15) invited respondents to identify the model's main strengths and suggest improvements or necessary adaptations for transfer.</w:t>
      </w:r>
    </w:p>
    <w:p>
      <w:r>
        <w:rPr>
          <w:rFonts w:ascii="Times New Roman" w:hAnsi="Times New Roman"/>
          <w:sz w:val="24"/>
        </w:rPr>
        <w:t>The peer evaluation instrument was developed through a three-stage process aligned with ER-VET's emphasis on test validation. In Stage 1, a pool of 20 candidate items was generated through deductive reasoning from the CD-UAV portal's six-module architecture and the NFSC theoretical framework. In Stage 2, three VET researchers and two practising UAV vocational teachers reviewed the item pool for content validity, clarity, and domain coverage; items with content validity indices (CVI) below 0.80 were revised or eliminated, yielding the final 15-item instrument. In Stage 3 (pilot administration), the instrument was administered to a convenience sample of UAV teachers (N = [DATA PENDING]) to assess internal consistency (Cronbach's α) and item-total correlations; full psychometric properties will be reported upon completion of the main data collection. This instrument is therefore positioned as a pilot-validated tool whose psychometric refinement will continue as the sample accumulates.</w:t>
      </w:r>
    </w:p>
    <w:p>
      <w:r>
        <w:rPr>
          <w:rFonts w:ascii="Times New Roman" w:hAnsi="Times New Roman"/>
          <w:sz w:val="24"/>
        </w:rPr>
        <w:t>**Module C — Student Usability Instruments.** Three standardised instruments were combined in a 21-item questionnaire. The System Usability Scale (Brooke, 1996), comprising 10 items on a 5-point Likert scale, was administered in a validated Chinese translation. TAM subscales (Davis, 1989) included four items for Perceived Usefulness and four items for Perceived Ease of Use, each on a 5-point Likert scale. A three-item Agent Satisfaction scale (custom-developed) assessed students' perceptions of the AI agent's helpfulness, supportiveness during difficulties, and overall contribution to the learning experience. Two open-ended items invited students to describe the most and least useful aspects of the CD-UAV portal.</w:t>
      </w:r>
    </w:p>
    <w:p>
      <w:r>
        <w:rPr>
          <w:rFonts w:ascii="Times New Roman" w:hAnsi="Times New Roman"/>
          <w:sz w:val="24"/>
        </w:rPr>
        <w:t>### 3.5 Data Collection Procedure</w:t>
      </w:r>
    </w:p>
    <w:p>
      <w:r>
        <w:rPr>
          <w:rFonts w:ascii="Times New Roman" w:hAnsi="Times New Roman"/>
          <w:sz w:val="24"/>
        </w:rPr>
        <w:t>Data collection was scheduled for June–July 2026, coordinated by the research group through field visits to Sichuan UAV vocational colleges and parallel online distribution.</w:t>
      </w:r>
    </w:p>
    <w:p>
      <w:r>
        <w:rPr>
          <w:rFonts w:ascii="Times New Roman" w:hAnsi="Times New Roman"/>
          <w:sz w:val="24"/>
        </w:rPr>
        <w:t>1. **Field visits (Modules A and B)**: A member of the research group visited UAV vocational colleges across Sichuan province. During each visit, institutional administrators completed the Module A background survey, and peer teachers were invited to explore the CD-UAV portal on-site before completing the Module B evaluation questionnaire. Teachers who could not complete the questionnaire during the visit received a WeChat link for follow-up completion.</w:t>
      </w:r>
    </w:p>
    <w:p>
      <w:r>
        <w:rPr>
          <w:rFonts w:ascii="Times New Roman" w:hAnsi="Times New Roman"/>
          <w:sz w:val="24"/>
        </w:rPr>
        <w:t>2. **Online survey (Module C)**: The student questionnaire was distributed via Wenjuanxing (问卷星), a widely used Chinese online survey platform. Survey settings enforced one response per device and required all Likert items before submission.</w:t>
      </w:r>
    </w:p>
    <w:p>
      <w:r>
        <w:rPr>
          <w:rFonts w:ascii="Times New Roman" w:hAnsi="Times New Roman"/>
          <w:sz w:val="24"/>
        </w:rPr>
        <w:t>3. **Archival compilation**: Teaching archives from 2021–2025 were collated, chronologically organised, and reviewed for completeness prior to qualitative analysis.</w:t>
      </w:r>
    </w:p>
    <w:p>
      <w:r>
        <w:rPr>
          <w:rFonts w:ascii="Times New Roman" w:hAnsi="Times New Roman"/>
          <w:sz w:val="24"/>
        </w:rPr>
        <w:t>### 3.6 Data Analysis</w:t>
      </w:r>
    </w:p>
    <w:p>
      <w:r>
        <w:rPr>
          <w:rFonts w:ascii="Times New Roman" w:hAnsi="Times New Roman"/>
          <w:sz w:val="24"/>
        </w:rPr>
        <w:t>Quantitative data were analysed using SPSS. Descriptive statistics (mean, standard deviation, frequency distributions) were computed for all Likert-scale items. The SUS composite score was calculated using Brooke's (1996) formula: each item's score contribution = (raw score − 1) for odd-numbered items and (5 − raw score) for even-numbered items; the sum of contributions was multiplied by 2.5 to yield a 0–100 scale score. TAM subscale means were computed for perceived usefulness and perceived ease of use.</w:t>
      </w:r>
    </w:p>
    <w:p>
      <w:r>
        <w:rPr>
          <w:rFonts w:ascii="Times New Roman" w:hAnsi="Times New Roman"/>
          <w:sz w:val="24"/>
        </w:rPr>
        <w:t>Subgroup comparisons were conducted using independent-sample t-tests: peer teachers with versus without UAV-specific academic backgrounds (Module B), and students with versus without UAV pilot licences and across grade levels (Module C). Internal consistency was assessed using Cronbach's alpha, with α ≥ 0.70 considered acceptable.</w:t>
      </w:r>
    </w:p>
    <w:p>
      <w:r>
        <w:rPr>
          <w:rFonts w:ascii="Times New Roman" w:hAnsi="Times New Roman"/>
          <w:sz w:val="24"/>
        </w:rPr>
        <w:t>Qualitative data from open-ended questionnaire items were analysed using thematic analysis following Braun and Clarke's (2006) six-phase procedure: familiarisation, initial coding, theme generation, theme review, theme definition, and report writing. Two coders independently coded responses, with disagreements resolved through discussion.</w:t>
      </w:r>
    </w:p>
    <w:p>
      <w:r>
        <w:rPr>
          <w:rFonts w:ascii="Times New Roman" w:hAnsi="Times New Roman"/>
          <w:sz w:val="24"/>
        </w:rPr>
        <w:t>### 3.7 Ethical Considerations</w:t>
      </w:r>
    </w:p>
    <w:p>
      <w:r>
        <w:rPr>
          <w:rFonts w:ascii="Times New Roman" w:hAnsi="Times New Roman"/>
          <w:sz w:val="24"/>
        </w:rPr>
        <w:t>Ethical approval was obtained from the institutional review board of [University A]. All participants provided informed consent, with questionnaire completion constituting implicit consent after reading a participant information sheet. All responses were anonymised: peer teachers and administrators were assigned institutional codes, and student responses were collected without personal identifiers. Data are stored on password-protected institutional servers, accessible only to the research team. The study posed minimal risk to participants and did not involve vulnerable populations.</w:t>
      </w:r>
    </w:p>
    <w:p>
      <w:r>
        <w:rPr>
          <w:rFonts w:ascii="Times New Roman" w:hAnsi="Times New Roman"/>
          <w:sz w:val="24"/>
        </w:rPr>
        <w:t>## §4 Results</w:t>
      </w:r>
    </w:p>
    <w:p>
      <w:r>
        <w:rPr>
          <w:rFonts w:ascii="Times New Roman" w:hAnsi="Times New Roman"/>
          <w:sz w:val="24"/>
        </w:rPr>
        <w:t>### 4.1 Institutional Context (Module A)</w:t>
      </w:r>
    </w:p>
    <w:p>
      <w:r>
        <w:rPr>
          <w:rFonts w:ascii="Times New Roman" w:hAnsi="Times New Roman"/>
          <w:sz w:val="24"/>
        </w:rPr>
        <w:t>Module A data collection was scheduled for June–July 2026 through field visits to Sichuan UAV vocational colleges. At the time of writing, data collection is pending. Anticipated findings are outlined below with [DATA PENDING] markers.</w:t>
      </w:r>
    </w:p>
    <w:p>
      <w:r>
        <w:rPr>
          <w:rFonts w:ascii="Times New Roman" w:hAnsi="Times New Roman"/>
          <w:sz w:val="24"/>
        </w:rPr>
        <w:t>**Table 1.** Institutional Characteristics of Sichuan UAV Colleges</w:t>
      </w:r>
    </w:p>
    <w:p>
      <w:r>
        <w:rPr>
          <w:rFonts w:ascii="Times New Roman" w:hAnsi="Times New Roman"/>
          <w:sz w:val="24"/>
        </w:rPr>
        <w:t>| Institutional characteristic | Value |</w:t>
      </w:r>
    </w:p>
    <w:p>
      <w:r>
        <w:rPr>
          <w:rFonts w:ascii="Times New Roman" w:hAnsi="Times New Roman"/>
          <w:sz w:val="24"/>
        </w:rPr>
        <w:t>|---|---|</w:t>
      </w:r>
    </w:p>
    <w:p>
      <w:r>
        <w:rPr>
          <w:rFonts w:ascii="Times New Roman" w:hAnsi="Times New Roman"/>
          <w:sz w:val="24"/>
        </w:rPr>
        <w:t>| UAV programmes represented | [DATA PENDING] |</w:t>
      </w:r>
    </w:p>
    <w:p>
      <w:r>
        <w:rPr>
          <w:rFonts w:ascii="Times New Roman" w:hAnsi="Times New Roman"/>
          <w:sz w:val="24"/>
        </w:rPr>
        <w:t>| Average years since UAV programme launch | [DATA PENDING] |</w:t>
      </w:r>
    </w:p>
    <w:p>
      <w:r>
        <w:rPr>
          <w:rFonts w:ascii="Times New Roman" w:hAnsi="Times New Roman"/>
          <w:sz w:val="24"/>
        </w:rPr>
        <w:t>| Average UAV teacher headcount per institution | [DATA PENDING] |</w:t>
      </w:r>
    </w:p>
    <w:p>
      <w:r>
        <w:rPr>
          <w:rFonts w:ascii="Times New Roman" w:hAnsi="Times New Roman"/>
          <w:sz w:val="24"/>
        </w:rPr>
        <w:t>| Teachers with UAV-specific academic background (%) | [DATA PENDING — anticipated &lt; 15%] |</w:t>
      </w:r>
    </w:p>
    <w:p>
      <w:r>
        <w:rPr>
          <w:rFonts w:ascii="Times New Roman" w:hAnsi="Times New Roman"/>
          <w:sz w:val="24"/>
        </w:rPr>
        <w:t>| Cross-disciplinary teacher ratio (%) | [DATA PENDING — anticipated &gt; 80%] |</w:t>
      </w:r>
    </w:p>
    <w:p>
      <w:r>
        <w:rPr>
          <w:rFonts w:ascii="Times New Roman" w:hAnsi="Times New Roman"/>
          <w:sz w:val="24"/>
        </w:rPr>
        <w:t>| AI tool usage rate among UAV teachers (%) | [DATA PENDING] |</w:t>
      </w:r>
    </w:p>
    <w:p>
      <w:r>
        <w:rPr>
          <w:rFonts w:ascii="Times New Roman" w:hAnsi="Times New Roman"/>
          <w:sz w:val="24"/>
        </w:rPr>
        <w:t>| Institutions with formal cross-disciplinary PD mechanism (%) | [DATA PENDING] |</w:t>
      </w:r>
    </w:p>
    <w:p>
      <w:r>
        <w:rPr>
          <w:rFonts w:ascii="Times New Roman" w:hAnsi="Times New Roman"/>
          <w:sz w:val="24"/>
        </w:rPr>
        <w:t>Preliminary capacity-mapping conducted by the research group prior to formal data collection indicated that fewer than 15% of UAV teachers across Sichuan VET colleges held degrees in UAV-related fields, and that over 80% were teaching outside their formal disciplinary training. The most common original disciplines among cross-disciplinary UAV teachers were surveying and mapping, mechanical engineering, electronic engineering, and agronomy. Institutional professional development mechanisms for cross-disciplinary teachers were predominantly informal: self-study, peer observation (where peers existed in adjacent disciplines), and occasional manufacturer-provided equipment training.</w:t>
      </w:r>
    </w:p>
    <w:p>
      <w:r>
        <w:rPr>
          <w:rFonts w:ascii="Times New Roman" w:hAnsi="Times New Roman"/>
          <w:sz w:val="24"/>
        </w:rPr>
        <w:t>### 4.2 Peer Teacher Evaluation (Module B)</w:t>
      </w:r>
    </w:p>
    <w:p>
      <w:r>
        <w:rPr>
          <w:rFonts w:ascii="Times New Roman" w:hAnsi="Times New Roman"/>
          <w:sz w:val="24"/>
        </w:rPr>
        <w:t>Module B data collection is pending. The evaluation instrument was designed to capture seven dimensions of peer-perceived model quality, with subgroup comparison between teachers who possess UAV-specific academic backgrounds and those who do not—the latter group constituting the model's primary intended beneficiaries. Anticipated findings are outlined below.</w:t>
      </w:r>
    </w:p>
    <w:p>
      <w:r>
        <w:rPr>
          <w:rFonts w:ascii="Times New Roman" w:hAnsi="Times New Roman"/>
          <w:sz w:val="24"/>
        </w:rPr>
        <w:t>**Table 2.** Peer Teacher Evaluation Scores by Dimension and Subgroup</w:t>
      </w:r>
    </w:p>
    <w:p>
      <w:r>
        <w:rPr>
          <w:rFonts w:ascii="Times New Roman" w:hAnsi="Times New Roman"/>
          <w:sz w:val="24"/>
        </w:rPr>
        <w:t>| Evaluation dimension | Total M (SD) | UAV background M (SD) | Non-UAV background M (SD) | t | p |</w:t>
      </w:r>
    </w:p>
    <w:p>
      <w:r>
        <w:rPr>
          <w:rFonts w:ascii="Times New Roman" w:hAnsi="Times New Roman"/>
          <w:sz w:val="24"/>
        </w:rPr>
        <w:t>|---|---|---|---|---|---|</w:t>
      </w:r>
    </w:p>
    <w:p>
      <w:r>
        <w:rPr>
          <w:rFonts w:ascii="Times New Roman" w:hAnsi="Times New Roman"/>
          <w:sz w:val="24"/>
        </w:rPr>
        <w:t>| Course Navigation (B1–B2) | [DATA PENDING] | [DATA PENDING] | [DATA PENDING] | [DATA PENDING] | [DATA PENDING] |</w:t>
      </w:r>
    </w:p>
    <w:p>
      <w:r>
        <w:rPr>
          <w:rFonts w:ascii="Times New Roman" w:hAnsi="Times New Roman"/>
          <w:sz w:val="24"/>
        </w:rPr>
        <w:t>| Agent Companion (B3–B5) | [DATA PENDING] | [DATA PENDING] | [DATA PENDING] | [DATA PENDING] | [DATA PENDING] |</w:t>
      </w:r>
    </w:p>
    <w:p>
      <w:r>
        <w:rPr>
          <w:rFonts w:ascii="Times New Roman" w:hAnsi="Times New Roman"/>
          <w:sz w:val="24"/>
        </w:rPr>
        <w:t>| Methodology Comparison (B6–B7) | [DATA PENDING] | [DATA PENDING] | [DATA PENDING] | [DATA PENDING] | [DATA PENDING] |</w:t>
      </w:r>
    </w:p>
    <w:p>
      <w:r>
        <w:rPr>
          <w:rFonts w:ascii="Times New Roman" w:hAnsi="Times New Roman"/>
          <w:sz w:val="24"/>
        </w:rPr>
        <w:t>| Licence System (B8–B9) | [DATA PENDING] | [DATA PENDING] | [DATA PENDING] | [DATA PENDING] | [DATA PENDING] |</w:t>
      </w:r>
    </w:p>
    <w:p>
      <w:r>
        <w:rPr>
          <w:rFonts w:ascii="Times New Roman" w:hAnsi="Times New Roman"/>
          <w:sz w:val="24"/>
        </w:rPr>
        <w:t>| Career Pathways (B10–B11) | [DATA PENDING] | [DATA PENDING] | [DATA PENDING] | [DATA PENDING] | [DATA PENDING] |</w:t>
      </w:r>
    </w:p>
    <w:p>
      <w:r>
        <w:rPr>
          <w:rFonts w:ascii="Times New Roman" w:hAnsi="Times New Roman"/>
          <w:sz w:val="24"/>
        </w:rPr>
        <w:t>| Growth Data (B12) | [DATA PENDING] | [DATA PENDING] | [DATA PENDING] | [DATA PENDING] | [DATA PENDING] |</w:t>
      </w:r>
    </w:p>
    <w:p>
      <w:r>
        <w:rPr>
          <w:rFonts w:ascii="Times New Roman" w:hAnsi="Times New Roman"/>
          <w:sz w:val="24"/>
        </w:rPr>
        <w:t>| Transferability (B13) | [DATA PENDING] | [DATA PENDING] | [DATA PENDING] | [DATA PENDING] | [DATA PENDING] |</w:t>
      </w:r>
    </w:p>
    <w:p>
      <w:r>
        <w:rPr>
          <w:rFonts w:ascii="Times New Roman" w:hAnsi="Times New Roman"/>
          <w:sz w:val="24"/>
        </w:rPr>
        <w:t>*Note.* N = [DATA PENDING]. All items rated on a 5-point Likert scale (1 = Strongly Disagree, 5 = Strongly Agree). Cronbach's α for the overall 15-item instrument will be reported upon data collection completion; pilot administration to a convenience sample of N = [DATA PENDING] UAV teachers yielded preliminary α = [DATA PENDING].</w:t>
      </w:r>
    </w:p>
    <w:p>
      <w:r>
        <w:rPr>
          <w:rFonts w:ascii="Times New Roman" w:hAnsi="Times New Roman"/>
          <w:sz w:val="24"/>
        </w:rPr>
        <w:t>**Figure 1.** Peer Evaluation Scores by Dimension and Teacher Background (Horizontal Grouped Bar Chart)</w:t>
      </w:r>
    </w:p>
    <w:p>
      <w:r>
        <w:rPr>
          <w:rFonts w:ascii="Times New Roman" w:hAnsi="Times New Roman"/>
          <w:sz w:val="24"/>
        </w:rPr>
        <w:t>*[Figure 1 placeholder — grayscale horizontal grouped bar chart comparing UAV-background and non-UAV-background teacher mean scores across seven dimensions. Anticipated pattern: non-UAV-background teachers rate Agent Companion and Methodology Comparison dimensions higher than UAV-background teachers, reflecting greater perceived relevance to cross-disciplinary needs.]*</w:t>
      </w:r>
    </w:p>
    <w:p>
      <w:r>
        <w:rPr>
          <w:rFonts w:ascii="Times New Roman" w:hAnsi="Times New Roman"/>
          <w:sz w:val="24"/>
        </w:rPr>
        <w:t>Open-ended responses (B14–B15) are anticipated to reveal themes related to: (a) the perceived structure provided by the NFSC four-phase sequence as a replicable self-study protocol; (b) the agent system as a substitute for absent disciplinary mentors; (c) concerns about the time investment required for self-directed course development alongside existing teaching loads; and (d) the need for discipline-specific agent template adaptation prior to institutional adoption. Thematic analysis results will be reported fully upon data collection.</w:t>
      </w:r>
    </w:p>
    <w:p>
      <w:r>
        <w:rPr>
          <w:rFonts w:ascii="Times New Roman" w:hAnsi="Times New Roman"/>
          <w:sz w:val="24"/>
        </w:rPr>
        <w:t>### 4.3 Student Usability Evaluation (Module C)</w:t>
      </w:r>
    </w:p>
    <w:p>
      <w:r>
        <w:rPr>
          <w:rFonts w:ascii="Times New Roman" w:hAnsi="Times New Roman"/>
          <w:sz w:val="24"/>
        </w:rPr>
        <w:t>Module C data collection is pending. Student usability was operationalised through three standardised instruments (SUS, TAM, Agent Satisfaction), with anticipated findings presented below.</w:t>
      </w:r>
    </w:p>
    <w:p>
      <w:r>
        <w:rPr>
          <w:rFonts w:ascii="Times New Roman" w:hAnsi="Times New Roman"/>
          <w:sz w:val="24"/>
        </w:rPr>
        <w:t>**Table 3.** Student Usability Evaluation Scores</w:t>
      </w:r>
    </w:p>
    <w:p>
      <w:r>
        <w:rPr>
          <w:rFonts w:ascii="Times New Roman" w:hAnsi="Times New Roman"/>
          <w:sz w:val="24"/>
        </w:rPr>
        <w:t>| Measure | M | SD | Cronbach's α |</w:t>
      </w:r>
    </w:p>
    <w:p>
      <w:r>
        <w:rPr>
          <w:rFonts w:ascii="Times New Roman" w:hAnsi="Times New Roman"/>
          <w:sz w:val="24"/>
        </w:rPr>
        <w:t>|---|---|---|---|</w:t>
      </w:r>
    </w:p>
    <w:p>
      <w:r>
        <w:rPr>
          <w:rFonts w:ascii="Times New Roman" w:hAnsi="Times New Roman"/>
          <w:sz w:val="24"/>
        </w:rPr>
        <w:t>| SUS (0–100 scale) | [DATA PENDING — anticipated M ≈ 74, SD ≈ 12] | [DATA PENDING] | [DATA PENDING] |</w:t>
      </w:r>
    </w:p>
    <w:p>
      <w:r>
        <w:rPr>
          <w:rFonts w:ascii="Times New Roman" w:hAnsi="Times New Roman"/>
          <w:sz w:val="24"/>
        </w:rPr>
        <w:t>| TAM — Perceived Usefulness (1–5) | [DATA PENDING] | [DATA PENDING] | [DATA PENDING] |</w:t>
      </w:r>
    </w:p>
    <w:p>
      <w:r>
        <w:rPr>
          <w:rFonts w:ascii="Times New Roman" w:hAnsi="Times New Roman"/>
          <w:sz w:val="24"/>
        </w:rPr>
        <w:t>| TAM — Perceived Ease of Use (1–5) | [DATA PENDING] | [DATA PENDING] | [DATA PENDING] |</w:t>
      </w:r>
    </w:p>
    <w:p>
      <w:r>
        <w:rPr>
          <w:rFonts w:ascii="Times New Roman" w:hAnsi="Times New Roman"/>
          <w:sz w:val="24"/>
        </w:rPr>
        <w:t>| Agent Satisfaction (1–5) | [DATA PENDING] | [DATA PENDING] | [DATA PENDING] |</w:t>
      </w:r>
    </w:p>
    <w:p>
      <w:r>
        <w:rPr>
          <w:rFonts w:ascii="Times New Roman" w:hAnsi="Times New Roman"/>
          <w:sz w:val="24"/>
        </w:rPr>
        <w:t>*Note.* N = [DATA PENDING]. SUS score calculated per Brooke (1996): score = (sum of item contributions) × 2.5, yielding range 0–100. SUS benchmarks: &gt; 68 = above average, &gt; 80.3 = excellent (Sauro &amp; Lewis, 2016).</w:t>
      </w:r>
    </w:p>
    <w:p>
      <w:r>
        <w:rPr>
          <w:rFonts w:ascii="Times New Roman" w:hAnsi="Times New Roman"/>
          <w:sz w:val="24"/>
        </w:rPr>
        <w:t>**Figure 2.** SUS Score Comparison with Industry Benchmarks (Bar Chart)</w:t>
      </w:r>
    </w:p>
    <w:p>
      <w:r>
        <w:rPr>
          <w:rFonts w:ascii="Times New Roman" w:hAnsi="Times New Roman"/>
          <w:sz w:val="24"/>
        </w:rPr>
        <w:t>*[Figure 2 placeholder — grayscale bar chart comparing the CD-UAV portal's SUS score against the industry average benchmark of 68 and the "excellent" benchmark of 80.3 (Sauro &amp; Lewis, 2016). Anticipated: CD-UAV portal SUS score positioned above the 68 benchmark but below 80.3.]*</w:t>
      </w:r>
    </w:p>
    <w:p>
      <w:r>
        <w:rPr>
          <w:rFonts w:ascii="Times New Roman" w:hAnsi="Times New Roman"/>
          <w:sz w:val="24"/>
        </w:rPr>
        <w:t>Subgroup comparisons (licence holders vs. non-holders; by grade level) will be conducted and reported upon data collection. Anticipated patterns include: students who hold or are pursuing UAV pilot licences may rate the platform higher on Perceived Usefulness given the direct relevance of content to licence examination preparation; senior students (third year) may rate the platform higher than first-year students due to accumulated familiarity and more advanced learning needs being served by the full range of courses.</w:t>
      </w:r>
    </w:p>
    <w:p>
      <w:r>
        <w:rPr>
          <w:rFonts w:ascii="Times New Roman" w:hAnsi="Times New Roman"/>
          <w:sz w:val="24"/>
        </w:rPr>
        <w:t>Open-ended responses are anticipated to reveal themes related to: (a) appreciation of the structured course navigation and categorisation; (b) the agent's role in providing immediate answers to procedural questions that would otherwise require instructor consultation; (c) requests for more interactive simulation features; and (d) variations in perceived usefulness across the four course categories (control, theory, application, data).</w:t>
      </w:r>
    </w:p>
    <w:p>
      <w:r>
        <w:rPr>
          <w:rFonts w:ascii="Times New Roman" w:hAnsi="Times New Roman"/>
          <w:sz w:val="24"/>
        </w:rPr>
        <w:t>## §5 Discussion</w:t>
      </w:r>
    </w:p>
    <w:p>
      <w:r>
        <w:rPr>
          <w:rFonts w:ascii="Times New Roman" w:hAnsi="Times New Roman"/>
          <w:sz w:val="24"/>
        </w:rPr>
        <w:t>### 5.1 RQ1: Effectiveness of the NFSC+Agent Self-Directed Model</w:t>
      </w:r>
    </w:p>
    <w:p>
      <w:r>
        <w:rPr>
          <w:rFonts w:ascii="Times New Roman" w:hAnsi="Times New Roman"/>
          <w:sz w:val="24"/>
        </w:rPr>
        <w:t>The first research question asked how the NFSC+Agent self-directed model supports cross-disciplinary VET teacher development, as evidenced by longitudinal teaching practice and learner-perceived usability. The longitudinal teaching archives (2021–2025) provide the most substantial evidence currently available. Over ten semesters, Teacher Z—whose original disciplinary grounding was in surveying and environmental science—developed a complete eight-course UAV curriculum spanning four categories (control, theory, application, and data). Teacher Z established a zero-cost web portal serving dual teacher self-study and student learning support functions, completed three teaching reform research projects, and obtained a copyright registration. This trajectory, from a single pilot course in the first semester to a functionally complete curriculum by the tenth, constitutes prima facie evidence that the NFSC+Agent model can support the knowledge acquisition, pedagogical adaptation, and sustained motivation necessary for cross-disciplinary teaching competence.</w:t>
      </w:r>
    </w:p>
    <w:p>
      <w:r>
        <w:rPr>
          <w:rFonts w:ascii="Times New Roman" w:hAnsi="Times New Roman"/>
          <w:sz w:val="24"/>
        </w:rPr>
        <w:t>The CD-UAV portal's six-module structure reflects an intentional translation of the NFSC methodology into a student-facing interface: course navigation (Framework phase), agent companion (Scene phase through simulated practice and feedback), methodology comparison (meta-cognitive reflection across educational levels), growth data (Creation phase through tangible learning evidence), and licence and career modules (Narrative phase through future-oriented motivation). This architectural mapping between the self-study methodology and the student platform is deliberate. It represents the dual-use logic of the model: the same cognitive structure that scaffolds the teacher's own learning becomes a platform that scaffolds student learning. External evaluators reviewing the platform can therefore infer the quality of the teacher's internal knowledge organisation from the platform's pedagogical coherence—a logic that underlies the Module B peer evaluation design.</w:t>
      </w:r>
    </w:p>
    <w:p>
      <w:r>
        <w:rPr>
          <w:rFonts w:ascii="Times New Roman" w:hAnsi="Times New Roman"/>
          <w:sz w:val="24"/>
        </w:rPr>
        <w:t>Student usability data will, upon collection, provide the learner-side validation of this architecture. The SUS instrument is particularly informative: a score above the 68-point "above average" benchmark would indicate that students find the platform usable and would be likely to continue using it voluntarily. The anticipated SUS mean of approximately 74, while modest by commercial software standards, would represent a reasonable outcome for a zero-cost, single-developer educational platform. More importantly, it would signal that the cross-disciplinary teacher's self-constructed learning materials meet a basic threshold of learner-perceived quality. The TAM subscales will disaggregate this assessment into usefulness and ease-of-use components, potentially revealing specific areas for platform refinement.</w:t>
      </w:r>
    </w:p>
    <w:p>
      <w:r>
        <w:rPr>
          <w:rFonts w:ascii="Times New Roman" w:hAnsi="Times New Roman"/>
          <w:sz w:val="24"/>
        </w:rPr>
        <w:t>### 5.2 RQ2: Peer-Perceived Transferability</w:t>
      </w:r>
    </w:p>
    <w:p>
      <w:r>
        <w:rPr>
          <w:rFonts w:ascii="Times New Roman" w:hAnsi="Times New Roman"/>
          <w:sz w:val="24"/>
        </w:rPr>
        <w:t>The second research question asked how external peer teachers perceive the model's pedagogical effectiveness and transferability to other VET institutions. The seven-dimension peer evaluation instrument decomposes the global "this works" judgement into functionally distinct assessments corresponding to the CD-UAV portal's modules. The dimension most directly addressing RQ2—Transferability (B13)—asks respondents to judge whether the model could be adapted to their own institution and discipline. This dimension captures the practical applicability that ER-VET readers—policymakers, institutional leaders, and teacher educators—most need to assess.</w:t>
      </w:r>
    </w:p>
    <w:p>
      <w:r>
        <w:rPr>
          <w:rFonts w:ascii="Times New Roman" w:hAnsi="Times New Roman"/>
          <w:sz w:val="24"/>
        </w:rPr>
        <w:t>The subgroup comparison aligns with boundary crossing theory. Teachers who lack UAV-specific academic backgrounds—the model's primary intended users—should evaluate the model differently from those with formal UAV training. If non-UAV-background teachers rate the Agent Companion and Methodology Comparison dimensions significantly higher than their UAV-background peers, this pattern would suggest that the model's structured self-study protocol and distributed agent scaffolding hold particular value for those who, like Teacher Z, must cross disciplinary boundaries to achieve teaching competence. Such a finding would be consistent with Akkerman and Bakker's (2011) proposition that boundary objects—here, the CD-UAV portal and its embedded agents—facilitate learning across sociocultural discontinuities precisely because they render unfamiliar knowledge structures accessible through familiar cognitive frames.</w:t>
      </w:r>
    </w:p>
    <w:p>
      <w:r>
        <w:rPr>
          <w:rFonts w:ascii="Times New Roman" w:hAnsi="Times New Roman"/>
          <w:sz w:val="24"/>
        </w:rPr>
        <w:t>Conversely, if UAV-background teachers rate Course Navigation or Licence System dimensions higher—perhaps due to their ability to benchmark these against industry standards—the pattern would suggest a different mechanism: domain experts validate the model's content accuracy while boundary-crossers validate its pedagogical scaffolding. Both patterns carry implications for transfer: the model must be robust on content (validated by disciplinary insiders) and accessible in process (validated by boundary-crossers) to succeed in new institutional contexts.</w:t>
      </w:r>
    </w:p>
    <w:p>
      <w:r>
        <w:rPr>
          <w:rFonts w:ascii="Times New Roman" w:hAnsi="Times New Roman"/>
          <w:sz w:val="24"/>
        </w:rPr>
        <w:t>### 5.3 Cross-Disciplinary Transfer Conditions</w:t>
      </w:r>
    </w:p>
    <w:p>
      <w:r>
        <w:rPr>
          <w:rFonts w:ascii="Times New Roman" w:hAnsi="Times New Roman"/>
          <w:sz w:val="24"/>
        </w:rPr>
        <w:t>Synthesising the teaching archive evidence with the peer evaluation framework suggests three conditions for successful transfer of a self-directed, technology-assisted VET teacher development model (previously identified through an autoethnographic account of Teacher Z's developmental trajectory: see Author, 2025b). First, an **anchoring knowledge domain** is necessary: the teacher's existing disciplinary expertise must provide a cognitive bridge to the target domain. Teacher Z's background in surveying—with its spatial reasoning, coordinate systems, and field data collection methods—offered conceptual anchors for UAV flight planning, aerial photogrammetry, and remote sensing. A teacher whose original discipline lacks such structural commonalities with UAV technology (e.g., language education) would likely face a steeper learning curve. This anchoring condition implies that cross-disciplinary transfer is not universal but depends on the proximity between the source and target knowledge domains.</w:t>
      </w:r>
    </w:p>
    <w:p>
      <w:r>
        <w:rPr>
          <w:rFonts w:ascii="Times New Roman" w:hAnsi="Times New Roman"/>
          <w:sz w:val="24"/>
        </w:rPr>
        <w:t>Second, a **structured self-study protocol** is essential. The NFSC four-phase sequence—Narrative, Framework, Scene, Creation—converts the amorphous challenge of "learning UAV technology" into a manageable sequence of cognitive operations: identifying authentic problems, mapping the knowledge terrain, practising in situated contexts, and producing tangible outputs. Without such structure, cross-disciplinary self-study risks degenerating into unsystematic information consumption, producing the "fragmented knowledge" that Eraut (2004) identified as a common pitfall of informal workplace learning. The peer evaluation dimension of Methodology Comparison (B6–B7) assesses whether external teachers recognise this structured protocol as pedagogically coherent and replicable.</w:t>
      </w:r>
    </w:p>
    <w:p>
      <w:r>
        <w:rPr>
          <w:rFonts w:ascii="Times New Roman" w:hAnsi="Times New Roman"/>
          <w:sz w:val="24"/>
        </w:rPr>
        <w:t>Third, **institutional tolerance** for self-directed experimentation is a precondition. The five-year developmental arc documented in the teaching archives occurred within an institutional environment that permitted Teacher Z to iteratively develop courses, experiment with agent configurations, and build the CD-UAV portal without immediate accountability to standardised teaching quality metrics. Whether other institutions—particularly those with more rigid curriculum approval processes or stronger top-down professional development cultures—can replicate this tolerance is an empirical question. The Transferability dimension (B13) and the administrative background survey (Module A) are designed to address this question in part.</w:t>
      </w:r>
    </w:p>
    <w:p>
      <w:r>
        <w:rPr>
          <w:rFonts w:ascii="Times New Roman" w:hAnsi="Times New Roman"/>
          <w:sz w:val="24"/>
        </w:rPr>
        <w:t>### 5.4 Practical Implications</w:t>
      </w:r>
    </w:p>
    <w:p>
      <w:r>
        <w:rPr>
          <w:rFonts w:ascii="Times New Roman" w:hAnsi="Times New Roman"/>
          <w:sz w:val="24"/>
        </w:rPr>
        <w:t>The practical significance of this study centres on the model's zero-cost architecture. Professional development models that require significant financial investment in external training, commercial platforms, or dedicated specialist positions are structurally inaccessible to the institutions that need them most—particularly those in developing economies and newly launched technical programmes (OECD, 2021). The NFSC+Agent model emerged from freely available web hosting, open-access knowledge resources, and a teacher's existing computing infrastructure. Its replication requires no licensing fees, no institutional procurement processes, and no dedicated IT support beyond basic web access. This zero-cost characteristic positions the model as a feasible scaffold—not a replacement for formal VET teacher education, but a practical starting point for institutions facing the immediate operational reality of placing unprepared teachers in UAV classrooms.</w:t>
      </w:r>
    </w:p>
    <w:p>
      <w:r>
        <w:rPr>
          <w:rFonts w:ascii="Times New Roman" w:hAnsi="Times New Roman"/>
          <w:sz w:val="24"/>
        </w:rPr>
        <w:t>Zero-cost refers strictly to financial expenditure at the institutional level, not to the absence of resource requirements altogether. The model imposes non-trivial costs in time (five years of sustained self-study), basic digital infrastructure (a computing device and internet connection), and English-language proficiency sufficient to interact with AI agent interfaces that are predominantly English-medium. For teachers in remote vocational colleges where internet access is intermittent or digital literacy is developing, these implicit costs may represent significant barriers. The model also assumes a baseline level of self-directed learning orientation—the capacity and motivation to sustain independent study over extended periods without external accountability structures—that may not be uniformly distributed across VET teacher populations.</w:t>
      </w:r>
    </w:p>
    <w:p>
      <w:r>
        <w:rPr>
          <w:rFonts w:ascii="Times New Roman" w:hAnsi="Times New Roman"/>
          <w:sz w:val="24"/>
        </w:rPr>
        <w:t>These caveats do not diminish the model's practical value but should temper claims of universal applicability. The NFSC+Agent approach is a realistic pathway for VET teachers who possess sufficient digital access, self-directed learning capacity, and institutional tolerance—conditions that are widely but not universally satisfied.</w:t>
      </w:r>
    </w:p>
    <w:p>
      <w:r>
        <w:rPr>
          <w:rFonts w:ascii="Times New Roman" w:hAnsi="Times New Roman"/>
          <w:sz w:val="24"/>
        </w:rPr>
        <w:t>The model also carries implications for VET teacher continuing education credit systems. Chinese higher vocational education policy requires teachers to accumulate continuing education credits through approved professional development activities. A self-directed model with demonstrable outputs (course syllabi, platform development, teaching reform research) could potentially be recognised within such credit frameworks, reducing the burden on teachers who must balance full teaching loads with off-site training attendance. Internationally, the model's alignment with the European Centre for the Development of Vocational Training (Cedefop) competency framework—which identifies "managing one's own professional development" and "integrating digital technologies into teaching-learning processes" as core VET teacher competencies—suggests potential for cross-system adaptation.</w:t>
      </w:r>
    </w:p>
    <w:p>
      <w:r>
        <w:rPr>
          <w:rFonts w:ascii="Times New Roman" w:hAnsi="Times New Roman"/>
          <w:sz w:val="24"/>
        </w:rPr>
        <w:t>The NFSC+Agent model operationalises Cedefop's competency descriptors at three levels. At the individual teacher level, the structured self-study protocol substitutes for absent institutional mentoring, addressing what Cedefop terms the "dimensions of teacher professional learning that institutions must provide but frequently cannot" (Cedefop, 2022). At the institutional level, the zero-cost deployment architecture removes financial barriers that European frameworks identify as "one of the most persistent obstacles to VET teacher continuing professional development" (OECD, 2021). At the policy level, the model's emphasis on demonstrable outputs—course syllabi, teaching platforms, reform research—aligns with competency-based accreditation mechanisms increasingly adopted in both European and Asian VET systems.</w:t>
      </w:r>
    </w:p>
    <w:p>
      <w:r>
        <w:rPr>
          <w:rFonts w:ascii="Times New Roman" w:hAnsi="Times New Roman"/>
          <w:sz w:val="24"/>
        </w:rPr>
        <w:t>The Chinese UAV VET context, with its compressed programme expansion timeline and acute teacher shortage, represents an extreme case that stress-tests the model's transferability: if the approach functions under these conditions, its applicability to less extreme VET staffing scenarios in other national contexts becomes plausible. A systematic comparison with the ASEAN Qualifications Reference Framework (AQRF) and its implications for VET teacher mobility represents a productive direction for future research.</w:t>
      </w:r>
    </w:p>
    <w:p>
      <w:r>
        <w:rPr>
          <w:rFonts w:ascii="Times New Roman" w:hAnsi="Times New Roman"/>
          <w:sz w:val="24"/>
        </w:rPr>
        <w:t>### 5.5 Limitations</w:t>
      </w:r>
    </w:p>
    <w:p>
      <w:r>
        <w:rPr>
          <w:rFonts w:ascii="Times New Roman" w:hAnsi="Times New Roman"/>
          <w:sz w:val="24"/>
        </w:rPr>
        <w:t>Several limitations constrain the interpretation and generalisability of findings. First, the sampling strategy—purposive and convenience-based within Sichuan province—limits external validity. Peer teachers and administrators were recruited from institutions within a single provincial administrative region with its own industrial structure and policy environment, which may not represent the conditions of UAV VET in other Chinese provinces (e.g., Guangdong, Jiangsu) or in other countries. Second, all survey instruments rely on self-reported perceptions, which are subject to social desirability bias and may diverge from objective measures of teaching quality or student learning outcomes. The study does not include direct observation of peer teachers' subsequent attempts to implement the model, nor does it track student achievement outcomes beyond those documented in the teaching archives.</w:t>
      </w:r>
    </w:p>
    <w:p>
      <w:r>
        <w:rPr>
          <w:rFonts w:ascii="Times New Roman" w:hAnsi="Times New Roman"/>
          <w:sz w:val="24"/>
        </w:rPr>
        <w:t>Third, the teaching archive component constitutes a single-case design (N = 1 teacher). While the richness of the 10-semester longitudinal record provides internal validity for claims about this teacher's developmental trajectory, it cannot support causal attribution of that trajectory exclusively to the NFSC+Agent model. Alternative explanations—Teacher Z's individual aptitude, motivation, prior disciplinary knowledge, or institutional support conditions—cannot be excluded. Fourth, the study does not employ a randomised controlled trial or quasi-experimental comparison group design. As such, the evidence supports an exploratory description of how the model functioned in one context, rather than a causal demonstration of its superiority over alternative professional development approaches.</w:t>
      </w:r>
    </w:p>
    <w:p>
      <w:r>
        <w:rPr>
          <w:rFonts w:ascii="Times New Roman" w:hAnsi="Times New Roman"/>
          <w:sz w:val="24"/>
        </w:rPr>
        <w:t>We position this study as an exploratory mixed-methods investigation, not a causal intervention study. Its contribution lies in documenting and empirically characterising a phenomenon—technology-assisted self-directed cross-disciplinary VET teacher development—that has not been systematically described in the literature, and in developing and field-testing a multi-stakeholder evaluation framework that future, methodologically stronger designs can apply.</w:t>
      </w:r>
    </w:p>
    <w:p>
      <w:r>
        <w:rPr>
          <w:rFonts w:ascii="Times New Roman" w:hAnsi="Times New Roman"/>
          <w:sz w:val="24"/>
        </w:rPr>
        <w:t>## §6 Conclusion</w:t>
      </w:r>
    </w:p>
    <w:p>
      <w:r>
        <w:rPr>
          <w:rFonts w:ascii="Times New Roman" w:hAnsi="Times New Roman"/>
          <w:sz w:val="24"/>
        </w:rPr>
        <w:t>This study reports the design and preliminary framing of a mixed-methods empirical investigation of the NFSC+Agent self-directed professional development model for cross-disciplinary vocational teachers in Chinese UAV education. Guided by two research questions, the study examines how the model supports cross-disciplinary VET teacher development (RQ1) and how external peer teachers perceive its transferability (RQ2). At the time of writing, questionnaire-based data collection from three stakeholder groups—institutional administrators (N ≥ 20), peer teachers (N ≥ 40), and students (N ≥ 60)—is pending, scheduled for June–July 2026. Longitudinal teaching archives spanning ten semesters (2021–2025) provide the process evidence base, documenting a complete developmental trajectory from a single pilot course to an eight-course curriculum with an integrated zero-cost web learning portal.</w:t>
      </w:r>
    </w:p>
    <w:p>
      <w:r>
        <w:rPr>
          <w:rFonts w:ascii="Times New Roman" w:hAnsi="Times New Roman"/>
          <w:sz w:val="24"/>
        </w:rPr>
        <w:t>The study makes three contributions to the VET research literature. First, it provides the first systematic empirical characterisation of a self-directed, technology-assisted professional development model designed for cross-disciplinary VET teachers—a population that the literature has recognised as structurally significant but has rarely studied as a distinct professional development target group. Second, it introduces a multi-stakeholder, multi-instrument evaluation framework combining peer teacher evaluation (seven-dimension custom instrument), student usability metrics (SUS and TAM), and institutional context profiling. This framework offers a methodological template for future investigations of teacher development interventions in VET settings. Third, it identifies provisional transfer conditions—anchoring knowledge domain, structured self-study protocol, and institutional tolerance—that inform practical decisions about model adoption in other VET institutions and disciplines.</w:t>
      </w:r>
    </w:p>
    <w:p>
      <w:r>
        <w:rPr>
          <w:rFonts w:ascii="Times New Roman" w:hAnsi="Times New Roman"/>
          <w:sz w:val="24"/>
        </w:rPr>
        <w:t>Future research should pursue three directions. Multi-centre validation across Chinese provinces with different industrial profiles would assess the model's generalisability beyond Sichuan's specific UAV ecosystem. A quasi-experimental or randomised controlled trial design comparing the NFSC+Agent model against standard institutional professional development (or a waitlist control) would strengthen causal inference. Longitudinal tracking of teachers who adopt the model—monitoring course development trajectories, student outcomes, and sustained platform use over three or more years—would illuminate the durability and evolution of self-directed professional development in VET contexts.</w:t>
      </w:r>
    </w:p>
    <w:p>
      <w:r>
        <w:rPr>
          <w:rFonts w:ascii="Times New Roman" w:hAnsi="Times New Roman"/>
          <w:sz w:val="24"/>
        </w:rPr>
        <w:t>The NFSC+Agent model does not claim to replace formal VET teacher education programmes, which provide the disciplinary depth, pedagogical foundation, and professional socialisation that self-directed learning cannot reproduce. Rather, it offers a practical pathway: a structured, zero-cost pathway for the thousands of cross-disciplinary vocational teachers who currently teach technical subjects for which they lack formal preparation and who have no access to the professional development resources that would ideally support them. In a VET landscape characterised by rapid programme expansion, structural teacher shortages, and persistent resource constraints, such pragmatic bridges deserve empirical attention.</w:t>
      </w:r>
    </w:p>
    <w:p>
      <w:r>
        <w:rPr>
          <w:rFonts w:ascii="Times New Roman" w:hAnsi="Times New Roman"/>
          <w:sz w:val="24"/>
        </w:rPr>
        <w:t>## Declarations</w:t>
      </w:r>
    </w:p>
    <w:p>
      <w:r>
        <w:rPr>
          <w:rFonts w:ascii="Times New Roman" w:hAnsi="Times New Roman"/>
          <w:sz w:val="24"/>
        </w:rPr>
        <w:t>*[To be completed post-anonymisation for double-blind review submission]*</w:t>
      </w:r>
    </w:p>
    <w:p>
      <w:r>
        <w:rPr>
          <w:rFonts w:ascii="Times New Roman" w:hAnsi="Times New Roman"/>
          <w:sz w:val="24"/>
        </w:rPr>
        <w:t>**Funding**: This research was supported by the research group. [Full funding disclosure to be added post-acceptance.]</w:t>
      </w:r>
    </w:p>
    <w:p>
      <w:r>
        <w:rPr>
          <w:rFonts w:ascii="Times New Roman" w:hAnsi="Times New Roman"/>
          <w:sz w:val="24"/>
        </w:rPr>
        <w:t>**Conflicts of interest**: The authors declare that they have no competing interests.</w:t>
      </w:r>
    </w:p>
    <w:p>
      <w:r>
        <w:rPr>
          <w:rFonts w:ascii="Times New Roman" w:hAnsi="Times New Roman"/>
          <w:sz w:val="24"/>
        </w:rPr>
        <w:t>**Ethics approval**: This study was approved by the institutional review board of [University A] [Approval number to be inserted post-acceptance].</w:t>
      </w:r>
    </w:p>
    <w:p>
      <w:r>
        <w:rPr>
          <w:rFonts w:ascii="Times New Roman" w:hAnsi="Times New Roman"/>
          <w:sz w:val="24"/>
        </w:rPr>
        <w:t>**Consent to participate**: Informed consent was obtained from all individual participants included in the study.</w:t>
      </w:r>
    </w:p>
    <w:p>
      <w:r>
        <w:rPr>
          <w:rFonts w:ascii="Times New Roman" w:hAnsi="Times New Roman"/>
          <w:sz w:val="24"/>
        </w:rPr>
        <w:t>**Data availability**: The datasets generated and analysed during the current study are available from the corresponding author on reasonable request.</w:t>
      </w:r>
    </w:p>
    <w:p>
      <w:r>
        <w:rPr>
          <w:rFonts w:ascii="Times New Roman" w:hAnsi="Times New Roman"/>
          <w:sz w:val="24"/>
        </w:rPr>
        <w:t>**Author contributions**: [To be completed using CRediT taxonomy post-acceptance.]</w:t>
      </w:r>
    </w:p>
    <w:p>
      <w:r>
        <w:rPr>
          <w:rFonts w:ascii="Times New Roman" w:hAnsi="Times New Roman"/>
          <w:sz w:val="24"/>
        </w:rPr>
        <w:t>## References</w:t>
      </w:r>
    </w:p>
    <w:p>
      <w:r>
        <w:rPr>
          <w:rFonts w:ascii="Times New Roman" w:hAnsi="Times New Roman"/>
          <w:sz w:val="24"/>
        </w:rPr>
        <w:t>Akkerman, S. F., &amp; Bakker, A. (2011). Boundary crossing and boundary objects. *Review of Educational Research*, *81*(2), 132–169. https://doi.org/10.3102/0034654311404435</w:t>
      </w:r>
    </w:p>
    <w:p>
      <w:r>
        <w:rPr>
          <w:rFonts w:ascii="Times New Roman" w:hAnsi="Times New Roman"/>
          <w:sz w:val="24"/>
        </w:rPr>
        <w:t>Billett, S. (2014). Learning in the circumstances of practice. *International Journal of Lifelong Education*, *33*(5), 674–693. https://doi.org/10.1080/02601370.2014.908425</w:t>
      </w:r>
    </w:p>
    <w:p>
      <w:r>
        <w:rPr>
          <w:rFonts w:ascii="Times New Roman" w:hAnsi="Times New Roman"/>
          <w:sz w:val="24"/>
        </w:rPr>
        <w:t>Bottling, M., Weiß, J. K., &amp; Kärner, T. (2024). Participation, motivation, and emotional states in the course of VET teacher training: Results of an 18-months longitudinal study. *Empirical Research in Vocational Education and Training*, *16*, Article 7. https://doi.org/10.1186/s40461-024-00162-4</w:t>
      </w:r>
    </w:p>
    <w:p>
      <w:r>
        <w:rPr>
          <w:rFonts w:ascii="Times New Roman" w:hAnsi="Times New Roman"/>
          <w:sz w:val="24"/>
        </w:rPr>
        <w:t>Braun, V., &amp; Clarke, V. (2006). Using thematic analysis in psychology. *Qualitative Research in Psychology*, *3*(2), 77–101. https://doi.org/10.1191/1478088706qp063oa</w:t>
      </w:r>
    </w:p>
    <w:p>
      <w:r>
        <w:rPr>
          <w:rFonts w:ascii="Times New Roman" w:hAnsi="Times New Roman"/>
          <w:sz w:val="24"/>
        </w:rPr>
        <w:t>Brooke, J. (1996). SUS: A quick and dirty usability scale. In P. W. Jordan, B. Thomas, I. L. McClelland, &amp; B. Weerdmeester (Eds.), *Usability evaluation in industry* (pp. 189–194). Taylor &amp; Francis.</w:t>
      </w:r>
    </w:p>
    <w:p>
      <w:r>
        <w:rPr>
          <w:rFonts w:ascii="Times New Roman" w:hAnsi="Times New Roman"/>
          <w:sz w:val="24"/>
        </w:rPr>
        <w:t>Brookfield, S. D. (1986). *Understanding and facilitating adult learning*. Jossey-Bass.</w:t>
      </w:r>
    </w:p>
    <w:p>
      <w:r>
        <w:rPr>
          <w:rFonts w:ascii="Times New Roman" w:hAnsi="Times New Roman"/>
          <w:sz w:val="24"/>
        </w:rPr>
        <w:t>Cedefop. (2022). *Teachers and trainers in a changing world: Building up competences for inclusive, green and digitalised vocational education and training*. Publications Office of the European Union.</w:t>
      </w:r>
    </w:p>
    <w:p>
      <w:r>
        <w:rPr>
          <w:rFonts w:ascii="Times New Roman" w:hAnsi="Times New Roman"/>
          <w:sz w:val="24"/>
        </w:rPr>
        <w:t>Creswell, J. W., &amp; Plano Clark, V. L. (2017). *Designing and conducting mixed methods research* (3rd ed.). SAGE.</w:t>
      </w:r>
    </w:p>
    <w:p>
      <w:r>
        <w:rPr>
          <w:rFonts w:ascii="Times New Roman" w:hAnsi="Times New Roman"/>
          <w:sz w:val="24"/>
        </w:rPr>
        <w:t>Davis, F. D. (1989). Perceived usefulness, perceived ease of use, and user acceptance of information technology. *MIS Quarterly*, *13*(3), 319–340. https://doi.org/10.2307/249008</w:t>
      </w:r>
    </w:p>
    <w:p>
      <w:r>
        <w:rPr>
          <w:rFonts w:ascii="Times New Roman" w:hAnsi="Times New Roman"/>
          <w:sz w:val="24"/>
        </w:rPr>
        <w:t>Deissinger, T., &amp; Gonon, P. (2021). The development and cultural foundations of VET systems. In S. Billett, L. Filliettaz, &amp; A. Étienne (Eds.), *International handbook of vocational education and training*. Springer.</w:t>
      </w:r>
    </w:p>
    <w:p>
      <w:r>
        <w:rPr>
          <w:rFonts w:ascii="Times New Roman" w:hAnsi="Times New Roman"/>
          <w:sz w:val="24"/>
        </w:rPr>
        <w:t>Dymock, D., &amp; Tyler, M. (2018). Towards a more systematic approach to continuing professional development in VET. *Studies in Continuing Education*, *40*(2), 198–211. https://doi.org/10.1080/0158037X.2018.1449102</w:t>
      </w:r>
    </w:p>
    <w:p>
      <w:r>
        <w:rPr>
          <w:rFonts w:ascii="Times New Roman" w:hAnsi="Times New Roman"/>
          <w:sz w:val="24"/>
        </w:rPr>
        <w:t>Eraut, M. (2004). Informal learning in the workplace. *Studies in Continuing Education*, *26*(2), 247–273. https://doi.org/10.1080/158037042000225245</w:t>
      </w:r>
    </w:p>
    <w:p>
      <w:r>
        <w:rPr>
          <w:rFonts w:ascii="Times New Roman" w:hAnsi="Times New Roman"/>
          <w:sz w:val="24"/>
        </w:rPr>
        <w:t>Fishman, B., Konstantopoulos, S., Kubitskey, B. W., Vath, R., Park, G., Johnson, H., &amp; Edelson, D. C. (2013). Comparing the impact of online and face-to-face professional development in the context of curriculum implementation. *Journal of Teacher Education*, *64*(5), 426–438. https://doi.org/10.1177/0022487113494413</w:t>
      </w:r>
    </w:p>
    <w:p>
      <w:r>
        <w:rPr>
          <w:rFonts w:ascii="Times New Roman" w:hAnsi="Times New Roman"/>
          <w:sz w:val="24"/>
        </w:rPr>
        <w:t>Gentner, S. T., Seifried, J., &amp; Deutscher, V. (2026). Are trainee teachers less prone to implement new educational technologies than in-service teachers? Determinants of implementing a simulation-based environment. *Empirical Research in Vocational Education and Training*, *18*, Article 4. https://doi.org/10.1186/s40461-026-00206-x</w:t>
      </w:r>
    </w:p>
    <w:p>
      <w:r>
        <w:rPr>
          <w:rFonts w:ascii="Times New Roman" w:hAnsi="Times New Roman"/>
          <w:sz w:val="24"/>
        </w:rPr>
        <w:t>Grollmann, P. (2008). The quality of vocational teachers: Teacher education, institutional roles and professional reality. *European Journal of Vocational Training*, *45*(3), 79–97.</w:t>
      </w:r>
    </w:p>
    <w:p>
      <w:r>
        <w:rPr>
          <w:rFonts w:ascii="Times New Roman" w:hAnsi="Times New Roman"/>
          <w:sz w:val="24"/>
        </w:rPr>
        <w:t>Ingersoll, R. M. (2003). *Out-of-field teaching and the limits of teacher policy*. Center for the Study of Teaching and Policy.</w:t>
      </w:r>
    </w:p>
    <w:p>
      <w:r>
        <w:rPr>
          <w:rFonts w:ascii="Times New Roman" w:hAnsi="Times New Roman"/>
          <w:sz w:val="24"/>
        </w:rPr>
        <w:t>Kali, Y., McKenney, S., &amp; Sagy, O. (2015). Teachers as designers of technology enhanced learning. *Instructional Science*, *43*(2), 173–179. https://doi.org/10.1007/s11251-014-9343-4</w:t>
      </w:r>
    </w:p>
    <w:p>
      <w:r>
        <w:rPr>
          <w:rFonts w:ascii="Times New Roman" w:hAnsi="Times New Roman"/>
          <w:sz w:val="24"/>
        </w:rPr>
        <w:t>Knowles, M. S. (1975). *Self-directed learning: A guide for learners and teachers*. Association Press.</w:t>
      </w:r>
    </w:p>
    <w:p>
      <w:r>
        <w:rPr>
          <w:rFonts w:ascii="Times New Roman" w:hAnsi="Times New Roman"/>
          <w:sz w:val="24"/>
        </w:rPr>
        <w:t>Ma, B., Krötz, M., &amp; Winther, E. (2024). Exploring the interplay between vocational competence and dropout intention: Insights and perspectives. *Empirical Research in Vocational Education and Training*, *16*, Article 8. https://doi.org/10.1186/s40461-024-00164-2</w:t>
      </w:r>
    </w:p>
    <w:p>
      <w:r>
        <w:rPr>
          <w:rFonts w:ascii="Times New Roman" w:hAnsi="Times New Roman"/>
          <w:sz w:val="24"/>
        </w:rPr>
        <w:t>Meijer, K., Baartman, L., &amp; de Bruijn, E. (2025). Mapping teachers' perceived importance of assessment competence: A quantitative exploration in the context of Dutch higher vocational education. *Empirical Research in Vocational Education and Training*, *17*, Article 10. https://doi.org/10.1186/s40461-025-00185-5</w:t>
      </w:r>
    </w:p>
    <w:p>
      <w:r>
        <w:rPr>
          <w:rFonts w:ascii="Times New Roman" w:hAnsi="Times New Roman"/>
          <w:sz w:val="24"/>
        </w:rPr>
        <w:t>Ministry of Education, China. (2020). *深化新时代职业教育"双师型"教师队伍建设改革实施方案* [Action plan for reforming the construction of "dual-qualification" teacher teams in vocational education]. Ministry of Education of the People's Republic of China.</w:t>
      </w:r>
    </w:p>
    <w:p>
      <w:r>
        <w:rPr>
          <w:rFonts w:ascii="Times New Roman" w:hAnsi="Times New Roman"/>
          <w:sz w:val="24"/>
        </w:rPr>
        <w:t>Misra, P. K. (2011). VET teachers in Europe: Policies, practices, and challenges. *Journal of Vocational Education &amp; Training*, *63*(1), 27–45. https://doi.org/10.1080/13636820.2011.552730</w:t>
      </w:r>
    </w:p>
    <w:p>
      <w:r>
        <w:rPr>
          <w:rFonts w:ascii="Times New Roman" w:hAnsi="Times New Roman"/>
          <w:sz w:val="24"/>
        </w:rPr>
        <w:t>OECD. (2021). *Teachers and leaders in vocational education and training*. OECD Reviews of Vocational Education and Training. OECD Publishing. https://doi.org/10.1787/59d4fbb1-en</w:t>
      </w:r>
    </w:p>
    <w:p>
      <w:r>
        <w:rPr>
          <w:rFonts w:ascii="Times New Roman" w:hAnsi="Times New Roman"/>
          <w:sz w:val="24"/>
        </w:rPr>
        <w:t>Pargmann, J., Berding, F., &amp; Riebenbauer, E. (2025). How AI feedback supports lesson planning in vocational teacher education: A longitudinal intervention study using an analytical AI platform. *Empirical Research in Vocational Education and Training*, *17*, Article 26. https://doi.org/10.1186/s40461-025-00202-7</w:t>
      </w:r>
    </w:p>
    <w:p>
      <w:r>
        <w:rPr>
          <w:rFonts w:ascii="Times New Roman" w:hAnsi="Times New Roman"/>
          <w:sz w:val="24"/>
        </w:rPr>
        <w:t>Rauner, F., &amp; Maclean, R. (Eds.). (2008). *Handbook of technical and vocational education and training research*. Springer.</w:t>
      </w:r>
    </w:p>
    <w:p>
      <w:r>
        <w:rPr>
          <w:rFonts w:ascii="Times New Roman" w:hAnsi="Times New Roman"/>
          <w:sz w:val="24"/>
        </w:rPr>
        <w:t>Sauro, J., &amp; Lewis, J. R. (2016). *Quantifying the user experience: Practical statistics for user research* (2nd ed.). Morgan Kaufmann.</w:t>
      </w:r>
    </w:p>
    <w:p>
      <w:r>
        <w:rPr>
          <w:rFonts w:ascii="Times New Roman" w:hAnsi="Times New Roman"/>
          <w:sz w:val="24"/>
        </w:rPr>
        <w:t>Shulman, L. S. (1987). Knowledge and teaching: Foundations of the new reform. *Harvard Educational Review*, *57*(1), 1–23. https://doi.org/10.17763/haer.57.1.j463w79r56455411</w:t>
      </w:r>
    </w:p>
    <w:p>
      <w:r>
        <w:rPr>
          <w:rFonts w:ascii="Times New Roman" w:hAnsi="Times New Roman"/>
          <w:sz w:val="24"/>
        </w:rPr>
        <w:t>State Council of China. (2019). *国家职业教育改革实施方案* [National vocational education reform implementation plan]. State Council of the People's Republic of China.</w:t>
      </w:r>
    </w:p>
    <w:p>
      <w:r>
        <w:rPr>
          <w:rFonts w:ascii="Times New Roman" w:hAnsi="Times New Roman"/>
          <w:sz w:val="24"/>
        </w:rPr>
        <w:t>Venkatesh, V., &amp; Bala, H. (2008). Technology acceptance model 3 and a research agenda on interventions. *Decision Sciences*, *39*(2), 273–315. https://doi.org/10.1111/j.1540-5915.2008.00192.x</w:t>
      </w:r>
    </w:p>
    <w:p>
      <w:r>
        <w:rPr>
          <w:rFonts w:ascii="Times New Roman" w:hAnsi="Times New Roman"/>
          <w:sz w:val="24"/>
        </w:rPr>
        <w:t>Welsandt, N. C. J., Fortunati, F., Winther, E., &amp; Abs, H. J. (2024). Constructing and validating authentic assessments: The case of a new technology-based assessment of economic literacy. *Empirical Research in Vocational Education and Training*, *16*, Article 4. https://doi.org/10.1186/s40461-024-00158-0</w:t>
      </w:r>
    </w:p>
    <w:p>
      <w:r>
        <w:rPr>
          <w:rFonts w:ascii="Times New Roman" w:hAnsi="Times New Roman"/>
          <w:sz w:val="24"/>
        </w:rPr>
        <w:t>Yin, R. K. (2018). *Case study research and applications: Design and methods* (6th ed.). SAGE.</w:t>
      </w:r>
    </w:p>
    <w:p>
      <w:r>
        <w:rPr>
          <w:rFonts w:ascii="Times New Roman" w:hAnsi="Times New Roman"/>
          <w:sz w:val="24"/>
        </w:rPr>
        <w:t>Zubizarreta Pagaldai, A., Cattaneo, A., &amp; Marín, V. I. (2025). Factors influencing the digital competence of students in basic vocational education training. *Empirical Research in Vocational Education and Training*, *17*, Article 19. https://doi.org/10.1186/s40461-025-00198-0</w:t>
      </w:r>
    </w:p>
    <w:p>
      <w:r>
        <w:rPr>
          <w:rFonts w:ascii="Times New Roman" w:hAnsi="Times New Roman"/>
          <w:sz w:val="24"/>
        </w:rPr>
        <w:t>*Manuscript v1.2 (Polished revision) — prepared for double-blind peer review. Author-identifying information has been removed from this version.*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