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环境工程专业固废课程学习门户可用性评价研究</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在此背景下，本论文以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可用性理论（Nielsen/SUS/Brooke）→ 技术接受模型（Davis TAM）→ 教育门户评价研究现状 → 固废课程学习门户概况</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本论文聚焦学习门户可用性评价，拟回答/完成以下问题/任务：</w:t>
      </w:r>
    </w:p>
    <w:p>
      <w:pPr>
        <w:ind w:firstLine="357"/>
      </w:pPr>
      <w:r>
        <w:rPr>
          <w:rFonts w:ascii="Times New Roman" w:hAnsi="Times New Roman" w:eastAsia="宋体"/>
          <w:b w:val="0"/>
          <w:sz w:val="24"/>
        </w:rPr>
        <w:t>1. 固废课程学习门户的SUS可用性得分如何？</w:t>
      </w:r>
    </w:p>
    <w:p>
      <w:pPr>
        <w:ind w:firstLine="357"/>
      </w:pPr>
      <w:r>
        <w:rPr>
          <w:rFonts w:ascii="Times New Roman" w:hAnsi="Times New Roman" w:eastAsia="宋体"/>
          <w:b w:val="0"/>
          <w:sz w:val="24"/>
        </w:rPr>
        <w:t>2. 学习者的技术接受度（TAM）各维度表现如何？</w:t>
      </w:r>
    </w:p>
    <w:p>
      <w:pPr>
        <w:ind w:firstLine="357"/>
      </w:pPr>
      <w:r>
        <w:rPr>
          <w:rFonts w:ascii="Times New Roman" w:hAnsi="Times New Roman" w:eastAsia="宋体"/>
          <w:b w:val="0"/>
          <w:sz w:val="24"/>
        </w:rPr>
        <w:t>3. 任务完成率与主观评价之间是否存在差异？</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量化研究（SUS系统可用性量表 + TAM技术接受模型）</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15-20份SUS/TAM问卷 + 3-5个典型任务完成率录屏</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SPSS / Excel统计</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定制SUS/TAM问卷 → 发放回收 → 统计分析 → 撰写报告</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文献检索（10篇）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设计SUS/TAM问卷 + 任务测试场景</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发放回收15-20份问卷 + 任务录屏</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数据录入 + SPSS统计分析</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撰写论文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Brooke J. SUS: A quick and dirty usability scale[J]. Usability Evaluation in Industry, 1996, 189(194): 4-7.</w:t>
      </w:r>
    </w:p>
    <w:p>
      <w:pPr>
        <w:ind w:firstLine="357"/>
      </w:pPr>
      <w:r>
        <w:rPr>
          <w:rFonts w:ascii="Times New Roman" w:hAnsi="Times New Roman" w:eastAsia="宋体"/>
          <w:b w:val="0"/>
          <w:sz w:val="24"/>
        </w:rPr>
        <w:t>[2] Davis F D. Perceived usefulness, perceived ease of use, and user acceptance of information technology[J]. MIS Quarterly, 1989, 13(3): 319-340.</w:t>
      </w:r>
    </w:p>
    <w:p>
      <w:pPr>
        <w:ind w:firstLine="357"/>
      </w:pPr>
      <w:r>
        <w:rPr>
          <w:rFonts w:ascii="Times New Roman" w:hAnsi="Times New Roman" w:eastAsia="宋体"/>
          <w:b w:val="0"/>
          <w:sz w:val="24"/>
        </w:rPr>
        <w:t>[3] Nielsen J. Usability engineering[M]. Morgan Kaufmann, 1994.</w:t>
      </w:r>
    </w:p>
    <w:p>
      <w:pPr>
        <w:ind w:firstLine="357"/>
      </w:pPr>
      <w:r>
        <w:rPr>
          <w:rFonts w:ascii="Times New Roman" w:hAnsi="Times New Roman" w:eastAsia="宋体"/>
          <w:b w:val="0"/>
          <w:sz w:val="24"/>
        </w:rPr>
        <w:t>[4] Lewis J R. The system usability scale: past, present, and future[J]. International Journal of Human-Computer Interaction, 2018, 34(7): 577-590.</w:t>
      </w:r>
    </w:p>
    <w:p>
      <w:pPr>
        <w:ind w:firstLine="357"/>
      </w:pPr>
      <w:r>
        <w:rPr>
          <w:rFonts w:ascii="Times New Roman" w:hAnsi="Times New Roman" w:eastAsia="宋体"/>
          <w:b w:val="0"/>
          <w:sz w:val="24"/>
        </w:rPr>
        <w:t>[5] 黄正文课题组. 固废课程学习子门户技术文档[Z]. 成都大学, 2025.</w:t>
      </w:r>
    </w:p>
    <w:p>
      <w:pPr>
        <w:ind w:firstLine="357"/>
      </w:pPr>
      <w:r>
        <w:rPr>
          <w:rFonts w:ascii="Times New Roman" w:hAnsi="Times New Roman" w:eastAsia="宋体"/>
          <w:b w:val="0"/>
          <w:sz w:val="24"/>
        </w:rPr>
        <w:t>[6] 黄正文课题组. NFSC（叙·框·境·创）四维教学法概述[Z]. 成都大学, 2024.</w:t>
      </w:r>
    </w:p>
    <w:p>
      <w:pPr>
        <w:ind w:firstLine="357"/>
      </w:pPr>
      <w:r>
        <w:rPr>
          <w:rFonts w:ascii="Times New Roman" w:hAnsi="Times New Roman" w:eastAsia="宋体"/>
          <w:b w:val="0"/>
          <w:sz w:val="24"/>
        </w:rPr>
        <w:t>[7] Bangor A, Kortum P T, Miller J T. An empirical evaluation of the system usability scale[J]. International Journal of Human-Computer Interaction, 2008, 24(6): 574-594.</w:t>
      </w:r>
    </w:p>
    <w:p>
      <w:pPr>
        <w:ind w:firstLine="357"/>
      </w:pPr>
      <w:r>
        <w:rPr>
          <w:rFonts w:ascii="Times New Roman" w:hAnsi="Times New Roman" w:eastAsia="宋体"/>
          <w:b w:val="0"/>
          <w:sz w:val="24"/>
        </w:rPr>
        <w:t>[8] Venkatesh V, Davis F D. A theoretical extension of the technology acceptance model[J]. Management Science, 2000, 46(2): 186-204.</w:t>
      </w:r>
    </w:p>
    <w:p>
      <w:pPr>
        <w:ind w:firstLine="357"/>
      </w:pPr>
      <w:r>
        <w:rPr>
          <w:rFonts w:ascii="Times New Roman" w:hAnsi="Times New Roman" w:eastAsia="宋体"/>
          <w:b w:val="0"/>
          <w:sz w:val="24"/>
        </w:rPr>
        <w:t>[9] 点暇斋. 网络普惠教育系列纪实小说[M]. QQ阅读/17K, 2023-2024.</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