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rFonts w:ascii="SimHei" w:hAnsi="SimHei" w:eastAsia="SimHei"/>
          <w:b/>
          <w:sz w:val="32"/>
        </w:rPr>
        <w:t>成都大学建筑与土木工程学院 2026 绩效新政解读</w:t>
      </w:r>
    </w:p>
    <w:p>
      <w:pPr>
        <w:jc w:val="center"/>
      </w:pPr>
      <w:r>
        <w:rPr>
          <w:rFonts w:ascii="SimSun" w:hAnsi="SimSun" w:eastAsia="SimSun"/>
          <w:b/>
          <w:sz w:val="28"/>
        </w:rPr>
        <w:t>——环境工程系黄正文教授工作布局、战略适配与成效预判</w:t>
      </w:r>
    </w:p>
    <w:p>
      <w:pPr>
        <w:jc w:val="center"/>
      </w:pPr>
      <w:r>
        <w:rPr>
          <w:rFonts w:ascii="SimSun" w:hAnsi="SimSun" w:eastAsia="SimSun"/>
          <w:sz w:val="24"/>
        </w:rPr>
        <w:t>黄正文</w:t>
      </w:r>
    </w:p>
    <w:p>
      <w:pPr>
        <w:jc w:val="center"/>
      </w:pPr>
      <w:r>
        <w:rPr>
          <w:rFonts w:ascii="SimSun" w:hAnsi="SimSun" w:eastAsia="SimSun"/>
          <w:sz w:val="15"/>
        </w:rPr>
        <w:t>（成都大学 建筑与土木工程学院 环境工程系，四川 成都 610106）</w:t>
      </w:r>
    </w:p>
    <w:p>
      <w:pPr>
        <w:spacing w:before="80"/>
      </w:pPr>
      <w:r>
        <w:rPr>
          <w:rFonts w:ascii="SimSun" w:hAnsi="SimSun" w:eastAsia="SimSun"/>
          <w:sz w:val="18"/>
        </w:rPr>
        <w:t>中图分类号：G647　　　文献标识码：A</w:t>
      </w:r>
    </w:p>
    <w:p>
      <w:pPr>
        <w:spacing w:before="60"/>
      </w:pPr>
      <w:r>
        <w:rPr>
          <w:rFonts w:ascii="SimHei" w:hAnsi="SimHei" w:eastAsia="SimHei"/>
          <w:b/>
          <w:sz w:val="18"/>
        </w:rPr>
        <w:t>摘　要：</w:t>
      </w:r>
      <w:r>
        <w:rPr>
          <w:rFonts w:ascii="SimSun" w:hAnsi="SimSun" w:eastAsia="SimSun"/>
          <w:sz w:val="18"/>
        </w:rPr>
        <w:t>成都大学建筑与土木工程学院 2026 年绩效分配新政将教授教学权重从约 60% 提升至 90%~95%，科研压缩至 5%~10%。本文对黄正文教授既有成果——学术专著 1 部、系列论文 10 篇、数字浏览页全套、课程思政精品示范、校级教学资源建设项目、普惠教育纪实小说故事云素材教改探索库——逐项对标新政条款，构建教学-科研双维适配矩阵，评估六大风险与四大机会窗口，并提出分阶段战略建议。分析表明，黄正文教授三年来的教学中心布局与新政方向高度吻合，具有显著先发优势与竞争壁垒。</w:t>
      </w:r>
    </w:p>
    <w:p>
      <w:r>
        <w:rPr>
          <w:rFonts w:ascii="SimHei" w:hAnsi="SimHei" w:eastAsia="SimHei"/>
          <w:b/>
          <w:sz w:val="18"/>
        </w:rPr>
        <w:t>关键词：</w:t>
      </w:r>
      <w:r>
        <w:rPr>
          <w:rFonts w:ascii="SimSun" w:hAnsi="SimSun" w:eastAsia="SimSun"/>
          <w:sz w:val="18"/>
        </w:rPr>
        <w:t>绩效分配；教学导向改革；战略适配度；NFSC 教学法；成都大学</w:t>
      </w:r>
    </w:p>
    <w:p>
      <w:pPr>
        <w:spacing w:before="160"/>
        <w:jc w:val="center"/>
      </w:pPr>
      <w:r>
        <w:rPr>
          <w:rFonts w:ascii="Times New Roman" w:hAnsi="Times New Roman"/>
          <w:b/>
          <w:sz w:val="18"/>
        </w:rPr>
        <w:t>Policy Shifts in Faculty Performance Evaluation: A Strategic Analysis of Professor Huang Zhengwen's Work Portfolio at Chengdu University</w:t>
      </w:r>
    </w:p>
    <w:p>
      <w:r>
        <w:rPr>
          <w:rFonts w:ascii="Times New Roman" w:hAnsi="Times New Roman"/>
          <w:b/>
          <w:sz w:val="18"/>
        </w:rPr>
        <w:t xml:space="preserve">Abstract: </w:t>
      </w:r>
      <w:r>
        <w:rPr>
          <w:rFonts w:ascii="Times New Roman" w:hAnsi="Times New Roman"/>
          <w:sz w:val="18"/>
        </w:rPr>
        <w:t>Chengdu University's 2026 performance pay reform significantly raises teaching weight for professors from ~60% to 90-95%, while compressing research to 5-10%. This analysis maps Professor Huang Zhengwen's existing portfolio—one academic monograph, ten journal papers, a comprehensive digital teaching platform, a curriculum ideology demonstration course, a provincial teaching reform project, and a seven-novel documentary fiction corpus—against the new policy. A dual-dimension adaptation matrix is constructed, six risks and four opportunity windows are assessed, and phased strategic recommendations are provided. Findings indicate strong pre-adaptive alignment between Huang's teaching-centered portfolio and the policy direction, conferring significant first-mover advantage and competitive moat.</w:t>
      </w:r>
    </w:p>
    <w:p>
      <w:r>
        <w:rPr>
          <w:rFonts w:ascii="Times New Roman" w:hAnsi="Times New Roman"/>
          <w:b/>
          <w:sz w:val="18"/>
        </w:rPr>
        <w:t xml:space="preserve">Keywords: </w:t>
      </w:r>
      <w:r>
        <w:rPr>
          <w:rFonts w:ascii="Times New Roman" w:hAnsi="Times New Roman"/>
          <w:sz w:val="18"/>
        </w:rPr>
        <w:t>performance-based pay; teaching-oriented reform; strategic alignment; NFSC pedagogy; Chengdu University</w:t>
      </w:r>
    </w:p>
    <w:p>
      <w:pPr>
        <w:jc w:val="center"/>
      </w:pPr>
      <w:r>
        <w:rPr>
          <w:color w:val="B4B4B4"/>
          <w:sz w:val="14"/>
        </w:rPr>
        <w:t>————————————————————</w:t>
      </w: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1 政策背景与核心条款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1.1 政策来源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本报告所依据的文件为《建筑与土木工程学院绩效工资分配办法（征求意见稿）》（2026 年 5 月版），由学院行政办公室面向全体教师征求修订意见。该文件系对〔2025〕21 号文件的修订，拟自 2026 年秋季学期起正式实施。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1.2 基础分配框架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新政策对不同职称层级设定了差异化的教学与科研权重分配。以下为从政策文件中提取的基础分配比例：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表1 基础分配框架（四层级对照）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职称层级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教学权重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科研权重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机动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变化趋势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教授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90%~95%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5%~10%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~5%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教学从~60%大幅提升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副教授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80%~90%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10%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~10%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科研压缩至10%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讲师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64%~75%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10%~15%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~15%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教学为主均衡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其他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40%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~25%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机动空间最大</w:t>
            </w:r>
          </w:p>
        </w:tc>
      </w:tr>
    </w:tbl>
    <w:p>
      <w:pPr>
        <w:spacing w:after="40"/>
      </w:pPr>
    </w:p>
    <w:p>
      <w:pPr>
        <w:spacing w:before="80"/>
        <w:jc w:val="center"/>
      </w:pPr>
      <w:r>
        <w:rPr>
          <w:rFonts w:ascii="SimSun" w:hAnsi="SimSun" w:eastAsia="SimSun"/>
          <w:sz w:val="18"/>
        </w:rPr>
        <w:t>图1 新旧政策教学-科研权重对比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1.3 超工作量资金池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年度绩效总额中约15%进入超工作量与奖励资金池：超教学工作量占5%，超科研工作量占5%，学院核心任务完成奖励占3%，机动调剂占2%。教学与科研的超额空间对等，但教学基础权重远高于科研，因此超教学量实质上回报更大。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1.4 教学量与奖励标准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教授年教学参考量为160学时，副教授96学时，讲师48学时。单项奖励方面：专著10,000元，高水平论文5,000~10,000元，校级教学资源建设项目10,000元，校级课程思政5,000元，单项教学奖励200~2,000元。</w:t>
      </w: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2 黄正文既有成果全景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2.1 教学维度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表2 教学成果清单（8项）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#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成果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类型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状态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适配度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专著《叙事·门户·智能体》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教学法专著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版权登记中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数字浏览页全套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教学平台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已上线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课程思政精品示范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教学荣誉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已获批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4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校级教学资源建设重点项目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教学项目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建设中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5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固废课程教学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工作量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32学时/期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6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本科毕设指导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工作量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3套20题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7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纪实小说/故事云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教学素材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7部200万字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8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CDU-Bamboo/English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教学拓展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2门户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</w:t>
            </w:r>
          </w:p>
        </w:tc>
      </w:tr>
    </w:tbl>
    <w:p>
      <w:pPr>
        <w:spacing w:after="40"/>
      </w:pPr>
    </w:p>
    <w:p>
      <w:pPr>
        <w:spacing w:before="80"/>
        <w:jc w:val="center"/>
      </w:pPr>
      <w:r>
        <w:rPr>
          <w:rFonts w:ascii="SimSun" w:hAnsi="SimSun" w:eastAsia="SimSun"/>
          <w:sz w:val="18"/>
        </w:rPr>
        <w:t>图2 教学成果维度覆盖雷达图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2.2 科研维度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10篇系列论文中，5篇已投稿（P1 EJEE/SSCI、P3 现代教育技术/CSSCI、P6 KM&amp;EL/Scopus、P7 JUTLP/Scopus Q1、P10 IJAD/Scopus），1篇大修中（P9 Open Edu Studies/Scopus），1篇待投（P4 SAJE/SSCI），1篇待更新图表（P8 Information Research/Scopus），2篇待问卷数据（P2 KJSS、P5 ER-VET）。在科研仅占5%~10%的新政策下，5篇已投稿已超额覆盖考核要求。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2.3 双跨成果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以下4项成果兼具教学与科研属性，可在两个维度同时计分：专著（教学法方法论+学术出版物）、P1论文（教学法验证+SSCI论文）、P7论文（教学效果实证+Scopus Q1论文）、P6论文（教学迁移理论+Scopus论文）。双跨策略是政策套利的最优解。</w:t>
      </w:r>
    </w:p>
    <w:p>
      <w:pPr>
        <w:spacing w:before="80"/>
        <w:jc w:val="center"/>
      </w:pPr>
      <w:r>
        <w:rPr>
          <w:rFonts w:ascii="SimSun" w:hAnsi="SimSun" w:eastAsia="SimSun"/>
          <w:sz w:val="18"/>
        </w:rPr>
        <w:t>图3 成果-政策适配度热力图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959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3 新政适配度矩阵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热力图（图3）显示：专著和浏览页在四个评估维度上获得最高评分（90~98分），构成教学绩效核心支柱。政策适配度排序为：专著 ≈ 浏览页 &gt; 课程思政 &gt; 校级教学资源建设 &gt; 故事云 &gt; 教学课时 &gt; 毕设 &gt; CDU-Bamboo。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科研侧适配度方面，10篇论文在5~10%的科研权重框架下已形成显著的"超额覆盖"。目前的关键不是增添数量，而是确保已有投稿成果及时见刊，并为P4、P8、P9补全投稿环节。</w:t>
      </w: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4 风控矩阵与机会窗口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4.1 六大风险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表3 六大风险矩阵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风险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概率/%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影响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应对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优先级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课程被分走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35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申报教学创新替代课时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专著出版滞后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25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版权先行·持续推进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教改未获批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15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备选已足·不计单次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论文被拒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10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低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多投策略·无系统风险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低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平台不被认定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10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低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备好使用说明+数据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低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持续分课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30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争取新课+增加毕设量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</w:tbl>
    <w:p>
      <w:pPr>
        <w:spacing w:after="40"/>
      </w:pPr>
    </w:p>
    <w:p>
      <w:pPr>
        <w:spacing w:before="80"/>
        <w:jc w:val="center"/>
      </w:pPr>
      <w:r>
        <w:rPr>
          <w:rFonts w:ascii="SimSun" w:hAnsi="SimSun" w:eastAsia="SimSun"/>
          <w:sz w:val="18"/>
        </w:rPr>
        <w:t>图4 风险矩阵（气泡=严重度）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143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4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4.2 四大机会窗口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表4 机会窗口分析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机会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可能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收益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行动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浏览页申请校级平台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教学品牌+绩效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提交使用报告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专著后申报省教学成果奖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极大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提前备申报材料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教学法外校借鉴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低-中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学术影响力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扩大传播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乐养教学入素质教育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低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申报校级美育项目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5 时间线推演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表5 时间线推演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时间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事件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类型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影响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2026.06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新政意见/版权登记/P4投稿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政策+行动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2026.07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新政实施/P8图表更新→投稿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政策+科研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2026.09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秋季学期/浏览页完善/教改推进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2026.12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首阶段考核·三件套就位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考核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2027.03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专著出版(预估)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2027.06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全年考核·绩效满格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考核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</w:tbl>
    <w:p>
      <w:pPr>
        <w:spacing w:after="40"/>
      </w:pPr>
    </w:p>
    <w:p>
      <w:pPr>
        <w:spacing w:before="80"/>
        <w:jc w:val="center"/>
      </w:pPr>
      <w:r>
        <w:rPr>
          <w:rFonts w:ascii="SimSun" w:hAnsi="SimSun" w:eastAsia="SimSun"/>
          <w:sz w:val="18"/>
        </w:rPr>
        <w:t>图5 战略时间线甘特图(2026.06-2027.06)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242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24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6 竞争壁垒分析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浏览页不是任何教师可以复制的一般教学平台。以下五层要素构成竞争壁垒：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表6 竞争壁垒五层塔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层级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要素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不可复制性/%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说明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7部纪实小说著作权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95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200万字原创，版权已登记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NFSC四维教学法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85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原创方法论，专著+论文支撑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八周教学全程实录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70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三届学生纵向数据，不可回溯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4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GitHub Pages零费部署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55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纯静态，推送即用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5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9-Agent协同设计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40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AI教学系统，可复制但周期长</w:t>
            </w:r>
          </w:p>
        </w:tc>
      </w:tr>
    </w:tbl>
    <w:p>
      <w:pPr>
        <w:spacing w:after="40"/>
      </w:pPr>
    </w:p>
    <w:p>
      <w:pPr>
        <w:spacing w:before="80"/>
        <w:jc w:val="center"/>
      </w:pPr>
      <w:r>
        <w:rPr>
          <w:rFonts w:ascii="SimSun" w:hAnsi="SimSun" w:eastAsia="SimSun"/>
          <w:sz w:val="18"/>
        </w:rPr>
        <w:t>图6 浏览页竞争壁垒五层塔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14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全校范围内，同时具备原创教学内容（小说著作权）、原创教学方法论（NFSC）、原创教学数据（三年实录）、原创教学平台（浏览页）、原创AI辅助系统（9-Agent）五要素的教师，目前仅有黄正文一人。</w:t>
      </w: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7 战略建议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7.1 短期（2026年6月前）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表7 短期行动清单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#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行动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预计时间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效果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版权登记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1~2周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专著合法身份·绩效刚需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P4投稿SAJE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1天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科研补充·全部覆盖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浏览页音频上线+推送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1天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教学平台完整化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4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教学平台使用说明(500字)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1~2h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防"不被认定"风险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5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校级教学资源建设项目跟进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持续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教学最高级别证明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7.2 中期（2026年秋季学期）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表8 中期行动清单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#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行动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预期效果</w:t>
            </w:r>
          </w:p>
        </w:tc>
      </w:tr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新课纲+浏览页+学习园地组合申报教学绩效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教学满格</w:t>
            </w:r>
          </w:p>
        </w:tc>
      </w:tr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学院NFSC教学法公开展示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影响力+证明</w:t>
            </w:r>
          </w:p>
        </w:tc>
      </w:tr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P9大修完成→重新提交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科研全覆盖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7.3 长期（2027年）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表9 长期行动清单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#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行动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预期效果</w:t>
            </w:r>
          </w:p>
        </w:tc>
      </w:tr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专著出版→申报省级教学成果奖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教学绩效终极证明</w:t>
            </w:r>
          </w:p>
        </w:tc>
      </w:tr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浏览页申请校级/省级教学平台认定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制度化护城河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8 结论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成都大学建筑与土木工程学院 2026 年绩效新政标志着评价体系从"重科研"向"重教学"的根本转向。教授层级教学权重从约60%骤升至90%~95%，对于以论文为主要产出路径的教师构成颠覆性冲击。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黄正文教授过去三年的工作布局——学术专著、数字浏览页、10篇论文（含多篇教学研究）、课程思政精品示范、校级教学资源建设、普惠教育纪实小说故事云素材教改探索——呈现出与新政高度吻合的"预适应"特征。这不是巧合，而是对工科研究生教学改革方向的持续预判与实践积累。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核心结论：新政是东风，船早已造好。当前课题不是"追赶"而是"收割"——有序完成版权登记、论文投稿、教改申报等里程碑，确保每项成果在新框架下获得最大绩效反响。课程被分走一半是主要风险，但浏览页的教学平台属性、专著的独创性、以及双跨成果的策略价值，构成了足够强大的安全垫与增长空间。</w:t>
      </w:r>
    </w:p>
    <w:p>
      <w:pPr>
        <w:jc w:val="right"/>
      </w:pPr>
      <w:r>
        <w:rPr>
          <w:rFonts w:ascii="SimSun" w:hAnsi="SimSun" w:eastAsia="SimSun"/>
          <w:color w:val="808080"/>
          <w:sz w:val="18"/>
        </w:rPr>
        <w:t>（日期：2026-06-07）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pgSz w:w="11906" w:h="16838"/>
      <w:pgMar w:top="1701" w:right="1134" w:bottom="1134" w:left="1134" w:header="720" w:footer="720" w:gutter="0"/>
      <w:cols w:space="720"/>
      <w:titlePg/>
      <w:docGrid w:linePitch="360"/>
      <w:cols w:num="2" w:space="600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SimSun"/>
        <w:color w:val="808080"/>
        <w:sz w:val="15"/>
      </w:rPr>
      <w:t>黄正文：绩效新政解读与工作布局战略分析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SimSun"/>
        <w:color w:val="808080"/>
        <w:sz w:val="15"/>
      </w:rPr>
      <w:t>黄正文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