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rPr>
          <w:rFonts w:ascii="SimHei" w:hAnsi="SimHei" w:eastAsia="SimHei"/>
          <w:b/>
          <w:sz w:val="32"/>
        </w:rPr>
        <w:t>成都大学建筑与土木工程学院绩效新政深度解读</w:t>
      </w:r>
    </w:p>
    <w:p>
      <w:pPr>
        <w:jc w:val="center"/>
      </w:pPr>
      <w:r>
        <w:rPr>
          <w:rFonts w:ascii="SimSun" w:hAnsi="SimSun" w:eastAsia="SimSun"/>
          <w:b/>
          <w:sz w:val="28"/>
        </w:rPr>
        <w:t>——环境工程系黄正文教授工作布局战略分析</w:t>
      </w:r>
    </w:p>
    <w:p>
      <w:pPr>
        <w:jc w:val="center"/>
      </w:pPr>
      <w:r>
        <w:rPr>
          <w:rFonts w:ascii="SimSun" w:hAnsi="SimSun" w:eastAsia="SimSun"/>
          <w:sz w:val="24"/>
        </w:rPr>
        <w:t>黄正文</w:t>
      </w:r>
    </w:p>
    <w:p>
      <w:pPr>
        <w:jc w:val="center"/>
      </w:pPr>
      <w:r>
        <w:rPr>
          <w:rFonts w:ascii="SimSun" w:hAnsi="SimSun" w:eastAsia="SimSun"/>
          <w:sz w:val="15"/>
        </w:rPr>
        <w:t>（成都大学 建筑与土木工程学院 环境工程系，四川 成都 610106）</w:t>
      </w:r>
    </w:p>
    <w:p>
      <w:pPr>
        <w:spacing w:before="80"/>
      </w:pPr>
      <w:r>
        <w:rPr>
          <w:rFonts w:ascii="SimSun" w:hAnsi="SimSun" w:eastAsia="SimSun"/>
          <w:sz w:val="18"/>
        </w:rPr>
        <w:t>中图分类号：G647　　　文献标识码：A</w:t>
      </w:r>
    </w:p>
    <w:p>
      <w:pPr>
        <w:spacing w:before="60"/>
      </w:pPr>
      <w:r>
        <w:rPr>
          <w:rFonts w:ascii="SimHei" w:hAnsi="SimHei" w:eastAsia="SimHei"/>
          <w:b/>
          <w:sz w:val="18"/>
        </w:rPr>
        <w:t>摘　要：</w:t>
      </w:r>
      <w:r>
        <w:rPr>
          <w:rFonts w:ascii="SimSun" w:hAnsi="SimSun" w:eastAsia="SimSun"/>
          <w:sz w:val="18"/>
        </w:rPr>
        <w:t>成都大学建筑与土木工程学院 2026 年绩效分配新政将教授教学权重从约 60% 提升至 90%~95%，科研压缩至 5%~10%。本文对黄正文教授既有成果——学术专著 1 部、系列论文 10 篇、数字浏览页全套、课程思政示范课、省级教改项目、纪实小说素材库——逐项对标新政条款，构建教学-科研双维适配矩阵，评估六大风险与四大机会窗口，并提出分阶段战略建议。分析表明，黄正文教授三年来的教学中心布局与新政方向高度吻合，具有显著先发优势与竞争壁垒。</w:t>
      </w:r>
    </w:p>
    <w:p>
      <w:r>
        <w:rPr>
          <w:rFonts w:ascii="SimHei" w:hAnsi="SimHei" w:eastAsia="SimHei"/>
          <w:b/>
          <w:sz w:val="18"/>
        </w:rPr>
        <w:t>关键词：</w:t>
      </w:r>
      <w:r>
        <w:rPr>
          <w:rFonts w:ascii="SimSun" w:hAnsi="SimSun" w:eastAsia="SimSun"/>
          <w:sz w:val="18"/>
        </w:rPr>
        <w:t>绩效分配；教学导向改革；战略适配度；NFSC 教学法；成都大学</w:t>
      </w:r>
    </w:p>
    <w:p>
      <w:pPr>
        <w:spacing w:before="160"/>
        <w:jc w:val="center"/>
      </w:pPr>
      <w:r>
        <w:rPr>
          <w:rFonts w:ascii="Times New Roman" w:hAnsi="Times New Roman"/>
          <w:b/>
          <w:sz w:val="18"/>
        </w:rPr>
        <w:t>Policy Shifts in Faculty Performance Evaluation: A Strategic Analysis of Professor Huang Zhengwen's Work Portfolio at Chengdu University</w:t>
      </w:r>
    </w:p>
    <w:p>
      <w:r>
        <w:rPr>
          <w:rFonts w:ascii="Times New Roman" w:hAnsi="Times New Roman"/>
          <w:b/>
          <w:sz w:val="18"/>
        </w:rPr>
        <w:t xml:space="preserve">Abstract: </w:t>
      </w:r>
      <w:r>
        <w:rPr>
          <w:rFonts w:ascii="Times New Roman" w:hAnsi="Times New Roman"/>
          <w:sz w:val="18"/>
        </w:rPr>
        <w:t>Chengdu University's 2026 performance pay reform significantly raises teaching weight for professors from ~60% to 90-95%, while compressing research to 5-10%. This analysis maps Professor Huang Zhengwen's existing portfolio—one academic monograph, ten journal papers, a comprehensive digital teaching platform, a curriculum ideology demonstration course, a provincial teaching reform project, and a seven-novel documentary fiction corpus—against the new policy. A dual-dimension adaptation matrix is constructed, six risks and four opportunity windows are assessed, and phased strategic recommendations are provided. Findings indicate strong pre-adaptive alignment between Huang's teaching-centered portfolio and the policy direction, conferring significant first-mover advantage and competitive moat.</w:t>
      </w:r>
    </w:p>
    <w:p>
      <w:r>
        <w:rPr>
          <w:rFonts w:ascii="Times New Roman" w:hAnsi="Times New Roman"/>
          <w:b/>
          <w:sz w:val="18"/>
        </w:rPr>
        <w:t xml:space="preserve">Keywords: </w:t>
      </w:r>
      <w:r>
        <w:rPr>
          <w:rFonts w:ascii="Times New Roman" w:hAnsi="Times New Roman"/>
          <w:sz w:val="18"/>
        </w:rPr>
        <w:t>performance-based pay; teaching-oriented reform; strategic alignment; NFSC pedagogy; Chengdu University</w:t>
      </w:r>
    </w:p>
    <w:p>
      <w:pPr>
        <w:jc w:val="center"/>
      </w:pPr>
      <w:r>
        <w:rPr>
          <w:color w:val="B4B4B4"/>
          <w:sz w:val="14"/>
        </w:rPr>
        <w:t>————————————————————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1 政策背景与核心条款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1.1 政策来源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本报告所依据的文件为《建筑与土木工程学院绩效工资分配办法（征求意见稿）》（2026 年 5 月版），由学院行政办公室面向全体教师征求修订意见。该文件系对〔2025〕21 号文件的修订，拟自 2026 年秋季学期起正式实施。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1.2 基础分配框架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新政策对不同职称层级设定了差异化的教学与科研权重分配。以下为从政策文件中提取的基础分配比例：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表1 基础分配框架（四层级对照）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职称层级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教学权重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科研权重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机动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变化趋势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90%~95%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5%~10%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教学从~60%大幅提升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副教授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80%~90%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~10%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科研压缩至10%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讲师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64%~75%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10%~15%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~15%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教学为主均衡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其他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~25%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机动空间最大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图1 新旧政策教学-科研权重对比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1.3 超工作量资金池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年度绩效总额中约15%进入超工作量与奖励资金池：超教学工作量占5%，超科研工作量占5%，学院核心任务完成奖励占3%，机动调剂占2%。教学与科研的超额空间对等，但教学基础权重远高于科研，因此超教学量实质上回报更大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1.4 教学量与奖励标准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教授年教学参考量为160学时，副教授96学时，讲师48学时。单项奖励方面：专著10,000元，高水平论文5,000~10,000元，省级教改项目10,000元，校级课程思政5,000元，单项教学奖励200~2,000元。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2 黄正文既有成果全景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2.1 教学维度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表2 教学成果清单（8项）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成果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状态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适配度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专著《叙事·门户·智能体》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教学法专著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数字浏览页全套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已上线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课程思政示范课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教学荣誉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已获批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省级教改重点项目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教学项目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固废课程教学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32学时/期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6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本科毕设指导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工作量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3套20题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纪实小说/故事云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教学素材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7部200万字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★★★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CDU-Bamboo/English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教学拓展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2门户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★★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图2 教学成果维度覆盖雷达图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2.2 科研维度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10篇系列论文中，5篇已投稿（P1 EJEE/SSCI、P3 现代教育技术/CSSCI、P6 KM&amp;EL/Scopus、P7 JUTLP/Scopus Q1、P10 IJAD/Scopus），1篇大修中（P9 Open Edu Studies/Scopus），1篇待投（P4 SAJE/SSCI），1篇待更新图表（P8 Information Research/Scopus），2篇待问卷数据（P2 KJSS、P5 ER-VET）。在科研仅占5%~10%的新政策下，5篇已投稿已超额覆盖考核要求。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2.3 双跨成果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以下4项成果兼具教学与科研属性，可在两个维度同时计分：专著（教学法方法论+学术出版物）、P1论文（教学法验证+SSCI论文）、P7论文（教学效果实证+Scopus Q1论文）、P6论文（教学迁移理论+Scopus论文）。双跨策略是政策套利的最优解。</w:t>
      </w: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图3 成果-政策适配度热力图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959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3 新政适配度矩阵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热力图（图3）显示：专著和浏览页在四个评估维度上获得最高评分（90~98分），构成教学绩效核心支柱。政策适配度排序为：专著 ≈ 浏览页 &gt; 课程思政 &gt; 省级教改 &gt; 故事云 &gt; 教学课时 &gt; 毕设 &gt; CDU-Bamboo。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科研侧适配度方面，10篇论文在5~10%的科研权重框架下已形成显著的"超额覆盖"。目前的关键不是增添数量，而是确保已有投稿成果及时见刊，并为P4、P8、P9补全投稿环节。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4 风控矩阵与机会窗口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4.1 六大风险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表3 六大风险矩阵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概率/%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应对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优先级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课程被分走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申报教学创新替代课时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专著出版滞后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版权先行·持续推进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教改未获批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15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备选已足·不计单次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论文被拒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多投策略·无系统风险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平台不被认定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备好使用说明+数据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</w:tr>
      <w:tr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持续分课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30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争取新课+增加毕设量</w:t>
            </w:r>
          </w:p>
        </w:tc>
        <w:tc>
          <w:tcPr>
            <w:tcW w:type="dxa" w:w="1928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图4 风险矩阵（气泡=严重度）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143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4.2 四大机会窗口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表4 机会窗口分析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机会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可能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收益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浏览页申请校级平台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教学品牌+绩效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提交使用报告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专著后申报省教学成果奖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极大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提前备申报材料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教学法外校借鉴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低-中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学术影响力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扩大传播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乐养教学入素质教育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低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申报校级美育项目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5 时间线推演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表5 时间线推演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事件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影响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新政意见/版权登记/P4投稿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2026.07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新政实施/P8图表更新→投稿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政策+科研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中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2026.09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秋季学期/浏览页完善/教改推进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2026.12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首阶段考核·三件套就位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专著出版(预估)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2027.06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全年考核·绩效满格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考核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高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图5 战略时间线甘特图(2026.06-2027.06)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24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6 竞争壁垒分析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浏览页不是任何教师可以复制的一般教学平台。以下五层要素构成竞争壁垒：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表6 竞争壁垒五层塔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层级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要素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不可复制性/%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说明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7部纪实小说著作权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200万字原创，版权已登记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NFSC四维教学法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85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原创方法论，专著+论文支撑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八周教学全程实录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70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三届学生纵向数据，不可回溯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GitHub Pages零费部署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纯静态，推送即用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9-Agent协同设计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40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AI教学系统，可复制但周期长</w:t>
            </w:r>
          </w:p>
        </w:tc>
      </w:tr>
    </w:tbl>
    <w:p>
      <w:pPr>
        <w:spacing w:after="40"/>
      </w:pPr>
    </w:p>
    <w:p>
      <w:pPr>
        <w:spacing w:before="80"/>
        <w:jc w:val="center"/>
      </w:pPr>
      <w:r>
        <w:rPr>
          <w:rFonts w:ascii="SimSun" w:hAnsi="SimSun" w:eastAsia="SimSun"/>
          <w:sz w:val="18"/>
        </w:rPr>
        <w:t>图6 浏览页竞争壁垒五层塔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全校范围内，同时具备原创教学内容（小说著作权）、原创教学方法论（NFSC）、原创教学数据（三年实录）、原创教学平台（浏览页）、原创AI辅助系统（9-Agent）五要素的教师，目前仅有黄正文一人。</w:t>
      </w: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7 战略建议</w:t>
      </w: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7.1 短期（2026年6月前）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表7 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预计时间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效果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版权登记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1~2周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专著合法身份·绩效刚需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P4投稿SAJE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科研补充·全部覆盖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浏览页音频上线+推送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1天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教学平台完整化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4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教学平台使用说明(500字)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1~2h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防"不被认定"风险</w:t>
            </w:r>
          </w:p>
        </w:tc>
      </w:tr>
      <w:tr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5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省级教改项目跟进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持续</w:t>
            </w:r>
          </w:p>
        </w:tc>
        <w:tc>
          <w:tcPr>
            <w:tcW w:type="dxa" w:w="2409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教学最高级别证明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7.2 中期（2026年秋季学期）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表8 中期行动清单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新课纲+浏览页+学习园地组合申报教学绩效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教学满格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学院NFSC教学法公开展示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影响力+证明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3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P9大修完成→重新提交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科研全覆盖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18"/>
        </w:rPr>
        <w:t>7.3 长期（2027年）</w:t>
      </w:r>
    </w:p>
    <w:p>
      <w:pPr>
        <w:spacing w:before="80"/>
        <w:jc w:val="center"/>
      </w:pPr>
      <w:r>
        <w:rPr>
          <w:rFonts w:ascii="SimSun" w:hAnsi="SimSun" w:eastAsia="SimSun"/>
          <w:b/>
          <w:sz w:val="18"/>
        </w:rPr>
        <w:t>表9 长期行动清单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#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行动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15"/>
              </w:rPr>
              <w:t>预期效果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1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专著出版→申报省级教学成果奖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none" w:sz="4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教学绩效终极证明</w:t>
            </w:r>
          </w:p>
        </w:tc>
      </w:tr>
      <w:tr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2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浏览页申请校级/省级教学平台认定</w:t>
            </w:r>
          </w:p>
        </w:tc>
        <w:tc>
          <w:tcPr>
            <w:tcW w:type="dxa" w:w="3213"/>
            <w:tcBorders>
              <w:left w:val="none" w:sz="4" w:space="0" w:color="000000"/>
              <w:right w:val="none" w:sz="4" w:space="0" w:color="000000"/>
            </w:tcBorders>
            <w:tcBorders>
              <w:top w:val="none" w:sz="4" w:space="0" w:color="000000"/>
              <w:bottom w:val="single" w:sz="12" w:space="0" w:color="000000"/>
            </w:tcBorders>
          </w:tcPr>
          <w:p>
            <w:r/>
            <w:r>
              <w:rPr>
                <w:rFonts w:ascii="FangSong" w:hAnsi="FangSong" w:eastAsia="FangSong"/>
                <w:sz w:val="15"/>
              </w:rPr>
              <w:t>制度化护城河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SimHei" w:hAnsi="SimHei" w:eastAsia="SimHei"/>
          <w:b/>
          <w:sz w:val="21"/>
        </w:rPr>
        <w:t>8 结论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成都大学建筑与土木工程学院 2026 年绩效新政标志着评价体系从"重科研"向"重教学"的根本转向。教授层级教学权重从约60%骤升至90%~95%，对于以论文为主要产出路径的教师构成颠覆性冲击。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黄正文教授过去三年的工作布局——学术专著、数字浏览页、10篇论文（含多篇教学研究）、课程思政示范课、省级教改、纪实小说素材——呈现出与新政高度吻合的"预适应"特征。这不是巧合，而是对工科研究生教学改革方向的持续预判与实践积累。</w:t>
      </w:r>
    </w:p>
    <w:p>
      <w:pPr>
        <w:spacing w:line="240" w:lineRule="auto" w:after="40"/>
        <w:ind w:firstLine="420"/>
      </w:pPr>
      <w:r>
        <w:rPr>
          <w:rFonts w:ascii="SimSun" w:hAnsi="SimSun" w:eastAsia="SimSun"/>
          <w:sz w:val="21"/>
        </w:rPr>
        <w:t>核心结论：新政是东风，船早已造好。当前课题不是"追赶"而是"收割"——有序完成版权登记、论文投稿、教改申报等里程碑，确保每项成果在新框架下获得最大绩效反响。课程被分走一半是主要风险，但浏览页的教学平台属性、专著的独创性、以及双跨成果的策略价值，构成了足够强大的安全垫与增长空间。</w:t>
      </w:r>
    </w:p>
    <w:p>
      <w:pPr>
        <w:jc w:val="right"/>
      </w:pPr>
      <w:r>
        <w:rPr>
          <w:rFonts w:ascii="SimSun" w:hAnsi="SimSun" w:eastAsia="SimSun"/>
          <w:color w:val="808080"/>
          <w:sz w:val="18"/>
        </w:rPr>
        <w:t>（收稿日期：2026-06-07）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701" w:right="1134" w:bottom="1134" w:left="1134" w:header="720" w:footer="720" w:gutter="0"/>
      <w:cols w:space="720"/>
      <w:titlePg/>
      <w:docGrid w:linePitch="360"/>
      <w:cols w:num="2" w:space="600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黄正文：绩效新政解读与工作布局战略分析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color w:val="808080"/>
        <w:sz w:val="15"/>
      </w:rPr>
      <w:t>黄正文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