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Sun" w:hAnsi="SimSun" w:eastAsia="SimSun"/>
          <w:b/>
          <w:sz w:val="36"/>
        </w:rPr>
        <w:t>成都大学建筑与土木工程学院</w:t>
      </w:r>
    </w:p>
    <w:p>
      <w:pPr>
        <w:jc w:val="center"/>
      </w:pPr>
      <w:r>
        <w:rPr>
          <w:rFonts w:ascii="SimHei" w:hAnsi="SimHei" w:eastAsia="SimHei"/>
          <w:b/>
          <w:sz w:val="44"/>
        </w:rPr>
        <w:t>绩效新政深度解读</w:t>
      </w:r>
    </w:p>
    <w:p>
      <w:pPr>
        <w:jc w:val="center"/>
      </w:pPr>
      <w:r>
        <w:rPr>
          <w:rFonts w:ascii="SimSun" w:hAnsi="SimSun" w:eastAsia="SimSun"/>
          <w:sz w:val="32"/>
        </w:rPr>
        <w:t>环境工程系黄正文教授工作布局战略分析报告</w:t>
      </w:r>
    </w:p>
    <w:p/>
    <w:p/>
    <w:p/>
    <w:p/>
    <w:p>
      <w:pPr>
        <w:jc w:val="center"/>
      </w:pPr>
      <w:r>
        <w:rPr>
          <w:rFonts w:ascii="SimSun" w:hAnsi="SimSun" w:eastAsia="SimSun"/>
          <w:color w:val="646464"/>
          <w:sz w:val="24"/>
        </w:rPr>
        <w:t>2026 年 6 月  |  密级：内部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0"/>
        </w:rPr>
        <w:t>摘要</w:t>
      </w:r>
    </w:p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本报告针对成都大学建筑与土木工程学院 2026 年绩效工资分配新政策（征求意见稿）进行深度解读，重点分析教学中权重从约 60% 提升至 85-95%、科研权重压缩至 5-10% 的结构性变化。报告基于环境工程系黄正文教授既有工作成果——学术专著 1 部、系列论文 10 篇（5 篇已成稿投稿）、数字浏览页全套、课程思政示范课、省级教改项目——逐项对标新政条款，构建适配度矩阵，评估风险与机会窗口，并提出短期、中期、长期战略建议。核心结论：黄正文教授过去三年以教学为中心的成果布局，与新政策方向高度吻合，具有显著先发优势。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0"/>
        </w:rPr>
        <w:t>一、政策背景与核心条款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1.1 政策来源</w:t>
      </w:r>
    </w:p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本报告所依据的文件为《建筑与土木工程学院绩效工资分配办法（征求意见稿）》（2026 年 5 月版），由学院行政办公室向全体教师征求意见。该文件系对 [2025]21 号文件的修订，拟自 2026 年 7 月 1 日起正式实施。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1.2 基础分配框架</w:t>
      </w:r>
    </w:p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新政策对不同职称层级设定了差异化的教学与科研权重分配。以下为从政策文件提取的基础分配比例：</w:t>
      </w:r>
    </w:p>
    <w:p>
      <w:pPr>
        <w:jc w:val="center"/>
      </w:pPr>
      <w:r>
        <w:rPr>
          <w:rFonts w:ascii="SimSun" w:hAnsi="SimSun" w:eastAsia="SimSun"/>
          <w:b/>
          <w:sz w:val="20"/>
        </w:rPr>
        <w:t>表 1：基础分配框架（4 职称层级对照）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职称层级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教学基础权重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科研基础权重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机动调节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主要变化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教授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90-95%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5-10%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~5%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教学权重显著提升（原约 60%）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副教授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80-90%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10%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~10%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科研压缩至 10%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讲师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64-75%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10-15%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~15%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均衡但教学为主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其他岗位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40%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35%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~25%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机动调节空间最大</w:t>
            </w:r>
          </w:p>
        </w:tc>
      </w:tr>
    </w:tbl>
    <w:p/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核心变化：教授层级教学权重从旧政策约 60% 提升至 90-95%，科研从约 40% 压缩至 5-10%。这是政策最根本的方向性调整。</w:t>
      </w:r>
    </w:p>
    <w:p>
      <w:pPr>
        <w:jc w:val="center"/>
      </w:pPr>
      <w:r>
        <w:rPr>
          <w:rFonts w:ascii="SimSun" w:hAnsi="SimSun" w:eastAsia="SimSun"/>
          <w:i/>
          <w:sz w:val="20"/>
        </w:rPr>
        <w:t>图 1：新旧政策教学-科研权重对比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olicy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/>
      </w:pPr>
      <w:r>
        <w:rPr>
          <w:rFonts w:ascii="SimSun" w:hAnsi="SimSun" w:eastAsia="SimSun"/>
          <w:b/>
          <w:sz w:val="26"/>
        </w:rPr>
        <w:t>1.3 超工作量资金池</w:t>
      </w:r>
    </w:p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年度绩效总额中约 15% 进入超工作量与奖励资金池：</w:t>
      </w:r>
    </w:p>
    <w:p>
      <w:pPr>
        <w:jc w:val="center"/>
      </w:pPr>
      <w:r>
        <w:rPr>
          <w:rFonts w:ascii="SimSun" w:hAnsi="SimSun" w:eastAsia="SimSun"/>
          <w:b/>
          <w:sz w:val="20"/>
        </w:rPr>
        <w:t>表 2：超工作量资金池结构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资金池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占比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适用条件</w:t>
            </w:r>
          </w:p>
        </w:tc>
      </w:tr>
      <w:tr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超教学工作量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5%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实际课时 &gt; 基准课时</w:t>
            </w:r>
          </w:p>
        </w:tc>
      </w:tr>
      <w:tr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超科研工作量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5%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实际成果 &gt; 基准要求</w:t>
            </w:r>
          </w:p>
        </w:tc>
      </w:tr>
      <w:tr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核心任务完成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3%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学院年度 OKR 达标</w:t>
            </w:r>
          </w:p>
        </w:tc>
      </w:tr>
      <w:tr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机动调剂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2%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院长综合调节</w:t>
            </w:r>
          </w:p>
        </w:tc>
      </w:tr>
    </w:tbl>
    <w:p/>
    <w:p>
      <w:pPr>
        <w:spacing w:before="160"/>
      </w:pPr>
      <w:r>
        <w:rPr>
          <w:rFonts w:ascii="SimSun" w:hAnsi="SimSun" w:eastAsia="SimSun"/>
          <w:b/>
          <w:sz w:val="26"/>
        </w:rPr>
        <w:t>1.4 教学量与奖励标准</w:t>
      </w:r>
    </w:p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根据政策文本提取的教学量参考线：教授 160 学时/年，副教授 96 学时/年，讲师 48 学时/年。以下为政策中提及的单项奖励标准：</w:t>
      </w:r>
    </w:p>
    <w:p>
      <w:pPr>
        <w:jc w:val="center"/>
      </w:pPr>
      <w:r>
        <w:rPr>
          <w:rFonts w:ascii="SimSun" w:hAnsi="SimSun" w:eastAsia="SimSun"/>
          <w:b/>
          <w:sz w:val="20"/>
        </w:rPr>
        <w:t>表 3：奖励标准对照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成果类型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预估奖励（元）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对应黄正文成果</w:t>
            </w:r>
          </w:p>
        </w:tc>
      </w:tr>
      <w:tr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学术专著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10,000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《叙事·门户·智能体》NFSC 教学法专著</w:t>
            </w:r>
          </w:p>
        </w:tc>
      </w:tr>
      <w:tr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高水平论文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5,000-10,000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P1/P3/P7 等 SSCI/CSSCI/Scopus Q1</w:t>
            </w:r>
          </w:p>
        </w:tc>
      </w:tr>
      <w:tr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省级教改项目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10,000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四川省研究生教改重点项目（申报中）</w:t>
            </w:r>
          </w:p>
        </w:tc>
      </w:tr>
      <w:tr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校级教改/课程思政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5,000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成都大学课程思政示范课（已获批）</w:t>
            </w:r>
          </w:p>
        </w:tc>
      </w:tr>
      <w:tr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单项教学奖励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200-2,000</w:t>
            </w:r>
          </w:p>
        </w:tc>
        <w:tc>
          <w:tcPr>
            <w:tcW w:type="dxa" w:w="302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浏览页教学创新、指导学生等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0"/>
        </w:rPr>
        <w:t>二、黄正文既有成果全景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2.1 教学维度——8 项教学成果逐条分析</w:t>
      </w:r>
    </w:p>
    <w:p>
      <w:pPr>
        <w:jc w:val="center"/>
      </w:pPr>
      <w:r>
        <w:rPr>
          <w:rFonts w:ascii="SimSun" w:hAnsi="SimSun" w:eastAsia="SimSun"/>
          <w:b/>
          <w:sz w:val="20"/>
        </w:rPr>
        <w:t>表 4：黄正文教学成果清单（8 项逐条分析）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#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成果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类型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状态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新政适配度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预判分值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专著《叙事·门户·智能体》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教学法专著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版权登记中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⭐⭐⭐⭐⭐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最高级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数字浏览页全套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教学平台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已上线运营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⭐⭐⭐⭐⭐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最高级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3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课程思政示范课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教学荣誉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已获批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⭐⭐⭐⭐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高级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4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省级教改重点项目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教学项目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申报中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⭐⭐⭐⭐⭐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最高级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5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固废课程教学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教学工作量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32学时/学期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基础级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6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本科毕设指导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教学工作量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3套20题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基础级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7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纪实小说/故事云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教学素材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7部200万字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基础级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8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CDU-Bamboo/CDU-English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教学拓展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2独立门户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补充级</w:t>
            </w:r>
          </w:p>
        </w:tc>
      </w:tr>
    </w:tbl>
    <w:p/>
    <w:p>
      <w:pPr>
        <w:jc w:val="center"/>
      </w:pPr>
      <w:r>
        <w:rPr>
          <w:rFonts w:ascii="SimSun" w:hAnsi="SimSun" w:eastAsia="SimSun"/>
          <w:i/>
          <w:sz w:val="20"/>
        </w:rPr>
        <w:t>图 2：教学成果维度覆盖雷达图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/>
      </w:pPr>
      <w:r>
        <w:rPr>
          <w:rFonts w:ascii="SimSun" w:hAnsi="SimSun" w:eastAsia="SimSun"/>
          <w:b/>
          <w:sz w:val="26"/>
        </w:rPr>
        <w:t>2.2 科研维度——10 篇论文逐篇对标</w:t>
      </w:r>
    </w:p>
    <w:p>
      <w:pPr>
        <w:jc w:val="center"/>
      </w:pPr>
      <w:r>
        <w:rPr>
          <w:rFonts w:ascii="SimSun" w:hAnsi="SimSun" w:eastAsia="SimSun"/>
          <w:b/>
          <w:sz w:val="20"/>
        </w:rPr>
        <w:t>表 5：10 篇论文逐篇对标（按状态排序）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#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论文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目标期刊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索引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状态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科研贡献度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P1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NFSC 四维教学法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EJEE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SSCI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✅ 已投稿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⭐⭐⭐⭐⭐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P2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双重数字门户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KJSS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Scopus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⏳ 待数据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P3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AI Agent 角色重塑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现代教育技术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CSSCI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✅ 已投稿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⭐⭐⭐⭐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P4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跨学科师资自学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SAJE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SSCI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📦 待投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⭐⭐⭐⭐⭐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P5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UAV 赋能职教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ER-VET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Scopus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⏳ 待数据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P6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六动机分类法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KM&amp;EL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Scopus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✅ 已投稿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P7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三年纵向评估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JUTLP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Scopus Q1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✅ 已投稿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⭐⭐⭐⭐⭐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P8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信息素养文献计量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Information Research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Scopus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🔧 待更新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P9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教师自我效能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Open Edu Studies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Scopus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🔄 大修中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</w:t>
            </w:r>
          </w:p>
        </w:tc>
      </w:tr>
      <w:tr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P10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教师发展文献计量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IJAD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Scopus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✅ 已投稿</w:t>
            </w:r>
          </w:p>
        </w:tc>
        <w:tc>
          <w:tcPr>
            <w:tcW w:type="dxa" w:w="1512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⭐⭐⭐⭐</w:t>
            </w:r>
          </w:p>
        </w:tc>
      </w:tr>
    </w:tbl>
    <w:p/>
    <w:p>
      <w:pPr>
        <w:spacing w:before="160"/>
      </w:pPr>
      <w:r>
        <w:rPr>
          <w:rFonts w:ascii="SimSun" w:hAnsi="SimSun" w:eastAsia="SimSun"/>
          <w:b/>
          <w:sz w:val="26"/>
        </w:rPr>
        <w:t>2.3 双跨成果——教学+科研双重计分</w:t>
      </w:r>
    </w:p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以下 4 项成果兼具教学与科研属性，可在两个维度同时计分，是政策套利的最优策略：</w:t>
      </w:r>
    </w:p>
    <w:p>
      <w:pPr>
        <w:jc w:val="center"/>
      </w:pPr>
      <w:r>
        <w:rPr>
          <w:rFonts w:ascii="SimSun" w:hAnsi="SimSun" w:eastAsia="SimSun"/>
          <w:b/>
          <w:sz w:val="20"/>
        </w:rPr>
        <w:t>表 6：双跨成果清单（4 项教学+科研双重计分）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#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成果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教学侧计分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科研侧计分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双跨价值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NFSC 专著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教学方法论（最高级）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学术出版物（专著）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双重顶级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P1 NFSC 论文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教学法验证数据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SSCI 论文（最高）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教学科研对等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3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P7 纵向评估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教学效果实证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Scopus Q1 论文（最高）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长期教学证据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4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P6 动机分类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教学迁移理论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Scopus 论文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跨学科创新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0"/>
        </w:rPr>
        <w:t>三、新政适配度矩阵</w:t>
      </w:r>
    </w:p>
    <w:p>
      <w:pPr>
        <w:jc w:val="center"/>
      </w:pPr>
      <w:r>
        <w:rPr>
          <w:rFonts w:ascii="SimSun" w:hAnsi="SimSun" w:eastAsia="SimSun"/>
          <w:i/>
          <w:sz w:val="20"/>
        </w:rPr>
        <w:t>图 3：成果-政策适配度热力图（颜色越深=适配度越高）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热力图显示：专著和浏览页在四个指标维度上获得最高评分（93-98 分），构成教学绩效的核心支柱。政策适配度排序：专著 ≈ 浏览页 &gt; 课程思政 &gt; 省级教改 &gt; 故事云 &gt; 教学课时 &gt; 毕设 &gt; CDU-Bamboo。</w:t>
      </w:r>
    </w:p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科研维度方面，10 篇论文中 5 篇已投稿，2 篇待投，1 篇大修中，2 篇待数据。在科研仅占 5-10% 的新政策下，5 篇已投稿已超额覆盖考核要求。继续推进剩余论文的主要价值在于学术影响力积累和省级教改支撑，而非绩效评分。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0"/>
        </w:rPr>
        <w:t>四、风控矩阵与机会窗口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4.1 六大风险矩阵</w:t>
      </w:r>
    </w:p>
    <w:p>
      <w:pPr>
        <w:jc w:val="center"/>
      </w:pPr>
      <w:r>
        <w:rPr>
          <w:rFonts w:ascii="SimSun" w:hAnsi="SimSun" w:eastAsia="SimSun"/>
          <w:b/>
          <w:sz w:val="20"/>
        </w:rPr>
        <w:t>表 7：六大风险矩阵（概率×影响×应对）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风险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概率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影响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应对措施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优先级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固废课被分走一半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中（35%）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高（70）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以浏览页+学习园地申报教学创新替代课时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🔴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专著出版滞后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中（25%）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中（50）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先版权登记→纳入在研成果→持续推进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🟡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省级教改未获批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低（15%）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高（60）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备选：校级教改+课程思政已够基本盘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🟡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论文被拒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低（10%）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低（30）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多投策略：5篇分布5刊，无系统性风险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🟢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浏览页不被认定为教学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低（10%）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低（20）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备好教学使用说明+学生使用数据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🟢</w:t>
            </w:r>
          </w:p>
        </w:tc>
      </w:tr>
      <w:tr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系主任持续分课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中（30%）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高（60）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争取新课开授/增加毕设指导量</w:t>
            </w:r>
          </w:p>
        </w:tc>
        <w:tc>
          <w:tcPr>
            <w:tcW w:type="dxa" w:w="1814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🔴</w:t>
            </w:r>
          </w:p>
        </w:tc>
      </w:tr>
    </w:tbl>
    <w:p/>
    <w:p>
      <w:pPr>
        <w:jc w:val="center"/>
      </w:pPr>
      <w:r>
        <w:rPr>
          <w:rFonts w:ascii="SimSun" w:hAnsi="SimSun" w:eastAsia="SimSun"/>
          <w:i/>
          <w:sz w:val="20"/>
        </w:rPr>
        <w:t>图 5：风险矩阵图（气泡大小=风险严重度）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i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/>
      </w:pPr>
      <w:r>
        <w:rPr>
          <w:rFonts w:ascii="SimSun" w:hAnsi="SimSun" w:eastAsia="SimSun"/>
          <w:b/>
          <w:sz w:val="26"/>
        </w:rPr>
        <w:t>4.2 四大机会窗口</w:t>
      </w:r>
    </w:p>
    <w:p>
      <w:pPr>
        <w:jc w:val="center"/>
      </w:pPr>
      <w:r>
        <w:rPr>
          <w:rFonts w:ascii="SimSun" w:hAnsi="SimSun" w:eastAsia="SimSun"/>
          <w:b/>
          <w:sz w:val="20"/>
        </w:rPr>
        <w:t>表 8：四大机会窗口分析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机会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可能性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收益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行动建议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浏览页申请校级教学平台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中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教学绩效+品牌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提交教学平台使用报告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专著出版后申报省级教学成果奖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中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极大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提前准备申报材料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教学法被其他高校借鉴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低-中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学术影响力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论文发表后→扩大传播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MP3乐养教学纳入素质教育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低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中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申报校级美育/素质教育项目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0"/>
        </w:rPr>
        <w:t>五、时间线推演</w:t>
      </w:r>
    </w:p>
    <w:p>
      <w:pPr>
        <w:jc w:val="center"/>
      </w:pPr>
      <w:r>
        <w:rPr>
          <w:rFonts w:ascii="SimSun" w:hAnsi="SimSun" w:eastAsia="SimSun"/>
          <w:b/>
          <w:sz w:val="20"/>
        </w:rPr>
        <w:t>表 9：时间线推演（2026.06-2027.06）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时间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事件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类型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影响等级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2026.06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新政征求意见→风标确认 / 版权登记 / P4投稿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政策+行动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🔴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2026.07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新政正式实施 / P8高清图替换→投稿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政策+科研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🟡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2026.09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秋季学期开学 / 浏览页完善上线 / 省级教改推进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🔴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2026.12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第一阶段考核 / 专著版权+浏览页+课程思政=教学绩效三件套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考核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🔴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2027.03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专著正式出版（预估）/ 教学绩效最强证明就位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🔴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2027.06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全年考核 / 专著+浏览页+课程思政+教改+论文=绩效满格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考核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🔴</w:t>
            </w:r>
          </w:p>
        </w:tc>
      </w:tr>
    </w:tbl>
    <w:p/>
    <w:p>
      <w:pPr>
        <w:jc w:val="center"/>
      </w:pPr>
      <w:r>
        <w:rPr>
          <w:rFonts w:ascii="SimSun" w:hAnsi="SimSun" w:eastAsia="SimSun"/>
          <w:i/>
          <w:sz w:val="20"/>
        </w:rPr>
        <w:t>图 4：战略时间线甘特图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120"/>
      </w:pPr>
      <w:r>
        <w:rPr>
          <w:rFonts w:ascii="SimHei" w:hAnsi="SimHei" w:eastAsia="SimHei"/>
          <w:b/>
          <w:sz w:val="30"/>
        </w:rPr>
        <w:t>六、竞争壁垒分析</w:t>
      </w:r>
    </w:p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浏览页不是任何人可以复制的教学平台。以下五层要素构成竞争壁垒：</w:t>
      </w:r>
    </w:p>
    <w:p>
      <w:pPr>
        <w:jc w:val="center"/>
      </w:pPr>
      <w:r>
        <w:rPr>
          <w:rFonts w:ascii="SimSun" w:hAnsi="SimSun" w:eastAsia="SimSun"/>
          <w:b/>
          <w:sz w:val="20"/>
        </w:rPr>
        <w:t>表 10：竞争壁垒五层塔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层级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要素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不可复制性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7部纪实小说著作权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极高（95%）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200万字原创内容，版权已登记，任何人无法在短期内产出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NFSC四维教学法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极高（85%）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原创教学方法论，有专著+论文双重支撑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3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八周教学全程实录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高（70%）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2023-2026三届学生纵向数据，不可回溯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4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GitHub Pages零费部署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中高（55%）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纯静态HTML/CSS/JS，推送即用，无需服务器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5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9-Agent协同设计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中（40%）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AI辅助教学系统，可复制但需较长开发周期</w:t>
            </w:r>
          </w:p>
        </w:tc>
      </w:tr>
    </w:tbl>
    <w:p/>
    <w:p>
      <w:pPr>
        <w:jc w:val="center"/>
      </w:pPr>
      <w:r>
        <w:rPr>
          <w:rFonts w:ascii="SimSun" w:hAnsi="SimSun" w:eastAsia="SimSun"/>
          <w:i/>
          <w:sz w:val="20"/>
        </w:rPr>
        <w:t>图 6：浏览页竞争壁垒五层塔（宽度=不可复制性）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o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全校范围，能够同时具备原创教学内容（小说著作权）、原创教学方法论（NFSC）、原创教学数据（三年实录）、原创教学平台（浏览页）、原创AI辅助系统（9-Agent）五要素的教师，目前仅有黄正文一人。</w:t>
      </w:r>
    </w:p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0"/>
        </w:rPr>
        <w:t>七、战略建议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7.1 短期（2026年6月前）</w:t>
      </w:r>
    </w:p>
    <w:p>
      <w:pPr>
        <w:jc w:val="center"/>
      </w:pPr>
      <w:r>
        <w:rPr>
          <w:rFonts w:ascii="SimSun" w:hAnsi="SimSun" w:eastAsia="SimSun"/>
          <w:b/>
          <w:sz w:val="20"/>
        </w:rPr>
        <w:t>表 11：短期行动清单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#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行动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预计时间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预期效果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版权登记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1-2周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专著合法身份，教学绩效刚需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P4投稿 SAJE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1天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科研10%的最后拼图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3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浏览页音频上线（MP3）+推送GitHub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1天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教学平台完整化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4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浏览页教学使用说明（500字）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1-2小时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应对"不被认可为教学"风险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5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省级教改项目申报跟进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持续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教学绩效最高级别证明</w:t>
            </w:r>
          </w:p>
        </w:tc>
      </w:tr>
    </w:tbl>
    <w:p/>
    <w:p>
      <w:pPr>
        <w:spacing w:before="160"/>
      </w:pPr>
      <w:r>
        <w:rPr>
          <w:rFonts w:ascii="SimSun" w:hAnsi="SimSun" w:eastAsia="SimSun"/>
          <w:b/>
          <w:sz w:val="26"/>
        </w:rPr>
        <w:t>7.2 中期（2026年秋季学期）</w:t>
      </w:r>
    </w:p>
    <w:p>
      <w:pPr>
        <w:jc w:val="center"/>
      </w:pPr>
      <w:r>
        <w:rPr>
          <w:rFonts w:ascii="SimSun" w:hAnsi="SimSun" w:eastAsia="SimSun"/>
          <w:b/>
          <w:sz w:val="20"/>
        </w:rPr>
        <w:t>表 12：中期行动清单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#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行动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预计时间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预期效果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以新课纲+浏览页+学习园地组合申报教学绩效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学期末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教学绩效满格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在学院做一次NFSC教学法公开展示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期中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学院影响力+教学绩效证明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3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P9大修完成→重新提交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学期中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科研10%全覆盖</w:t>
            </w:r>
          </w:p>
        </w:tc>
      </w:tr>
    </w:tbl>
    <w:p/>
    <w:p>
      <w:pPr>
        <w:spacing w:before="160"/>
      </w:pPr>
      <w:r>
        <w:rPr>
          <w:rFonts w:ascii="SimSun" w:hAnsi="SimSun" w:eastAsia="SimSun"/>
          <w:b/>
          <w:sz w:val="26"/>
        </w:rPr>
        <w:t>7.3 长期（2027年）</w:t>
      </w:r>
    </w:p>
    <w:p>
      <w:pPr>
        <w:jc w:val="center"/>
      </w:pPr>
      <w:r>
        <w:rPr>
          <w:rFonts w:ascii="SimSun" w:hAnsi="SimSun" w:eastAsia="SimSun"/>
          <w:b/>
          <w:sz w:val="20"/>
        </w:rPr>
        <w:t>表 13：长期行动清单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#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行动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预计时间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预期效果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1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专著正式出版→申报省级教学成果奖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2027上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教学绩效终极证明</w:t>
            </w:r>
          </w:p>
        </w:tc>
      </w:tr>
      <w:tr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浏览页申请校级或省级教学平台认定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2027中</w:t>
            </w:r>
          </w:p>
        </w:tc>
        <w:tc>
          <w:tcPr>
            <w:tcW w:type="dxa" w:w="226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8"/>
              </w:rPr>
              <w:t>制度化护城河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SimHei" w:hAnsi="SimHei" w:eastAsia="SimHei"/>
          <w:b/>
          <w:sz w:val="30"/>
        </w:rPr>
        <w:t>八、结论</w:t>
      </w:r>
    </w:p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成都大学建筑与土木工程学院 2026 年绩效工资新政标志着学院绩效评价体系从"科研导向"向"教学导向"的根本性转向。教授层级教学权重从约 60% 提升至 90-95%，科研压缩至 5-10%。这一政策对绝大多数教师的冲击是颠覆性的——此前以论文为主要产出路径的教师面临绩效断层。</w:t>
      </w:r>
    </w:p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然而，黄正文教授过去三年的工作布局——学术专著、数字浏览页、10篇论文（含多篇教学研究论文）、课程思政示范课、省级教改项目、原创纪实小说素材库——呈现出与新政高度吻合的"预适应"特征。这种吻合不是巧合，而是对工科研究生教学改革方向的持续预判与实践积累。</w:t>
      </w:r>
    </w:p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核心结论：新政是东风，黄老师的船早在风向改变之前就已造好。当前的核心课题不是"追赶"，而是"收割"——有序完成版权登记、论文投稿、教改申报等里程碑，确保每一份成果在新政框架下获得最大化的绩效效应。</w:t>
      </w:r>
    </w:p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  <w:t>报告中识别的主要风险——课程被分走导致教学量不足、专著出版滞后——均有可操作的缓解策略。浏览页作为教学平台的申报认定、省级教改项目的推进、以及争取新课开授机会，是未来一年的三项核心任务。</w:t>
      </w:r>
    </w:p>
    <w:p>
      <w:pPr>
        <w:spacing w:line="432" w:lineRule="auto"/>
        <w:ind w:firstLine="420"/>
      </w:pPr>
      <w:r>
        <w:rPr>
          <w:rFonts w:ascii="FangSong" w:hAnsi="FangSong" w:eastAsia="FangSong"/>
          <w:sz w:val="24"/>
        </w:rPr>
      </w:r>
    </w:p>
    <w:p>
      <w:pPr>
        <w:jc w:val="right"/>
      </w:pPr>
      <w:r>
        <w:rPr>
          <w:rFonts w:ascii="FangSong" w:hAnsi="FangSong" w:eastAsia="FangSong"/>
          <w:color w:val="808080"/>
          <w:sz w:val="20"/>
        </w:rPr>
        <w:t>报告生成时间：2026-06-07 07:06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